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9"/>
        <w:ind w:firstLine="0"/>
        <w:jc w:val="center"/>
        <w:rPr>
          <w:rFonts w:hint="eastAsia" w:cs="宋体"/>
          <w:b/>
          <w:color w:val="000000"/>
          <w:sz w:val="72"/>
          <w:szCs w:val="72"/>
          <w:highlight w:val="none"/>
        </w:rPr>
      </w:pPr>
      <w:r>
        <w:rPr>
          <w:rFonts w:hint="eastAsia" w:cs="宋体"/>
          <w:b/>
          <w:color w:val="000000"/>
          <w:sz w:val="72"/>
          <w:szCs w:val="72"/>
          <w:highlight w:val="none"/>
        </w:rPr>
      </w:r>
      <w:r/>
    </w:p>
    <w:p>
      <w:pPr>
        <w:pStyle w:val="789"/>
        <w:ind w:firstLine="0"/>
        <w:jc w:val="center"/>
        <w:rPr>
          <w:rFonts w:hint="eastAsia" w:cs="宋体"/>
          <w:b/>
          <w:color w:val="000000"/>
          <w:sz w:val="72"/>
          <w:szCs w:val="72"/>
          <w:highlight w:val="none"/>
        </w:rPr>
      </w:pPr>
      <w:r>
        <w:rPr>
          <w:rFonts w:hint="eastAsia" w:cs="宋体"/>
          <w:b/>
          <w:color w:val="000000"/>
          <w:sz w:val="72"/>
          <w:szCs w:val="72"/>
          <w:highlight w:val="none"/>
        </w:rPr>
      </w:r>
      <w:r/>
    </w:p>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72"/>
          <w:highlight w:val="none"/>
        </w:rPr>
        <w:t xml:space="preserve">招　标　文　件</w:t>
      </w:r>
      <w:r/>
    </w:p>
    <w:p>
      <w:pPr>
        <w:jc w:val="center"/>
        <w:spacing w:line="113"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jc w:val="center"/>
        <w:spacing w:line="113"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jc w:val="center"/>
        <w:spacing w:line="113"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jc w:val="center"/>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t xml:space="preserve">项目名称：</w:t>
      </w:r>
      <w:r>
        <w:rPr>
          <w:rFonts w:hint="eastAsia" w:ascii="宋体" w:hAnsi="宋体" w:cs="宋体"/>
          <w:b/>
          <w:color w:val="000000"/>
          <w:sz w:val="32"/>
          <w:highlight w:val="none"/>
          <w:lang w:eastAsia="zh-CN"/>
        </w:rPr>
        <w:t xml:space="preserve">2025年度白蚁等害堤动物普查治理项目</w:t>
      </w:r>
      <w:r/>
    </w:p>
    <w:p>
      <w:pPr>
        <w:jc w:val="center"/>
        <w:spacing w:line="360" w:lineRule="auto"/>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t xml:space="preserve">标书编号：</w:t>
      </w:r>
      <w:r>
        <w:rPr>
          <w:rFonts w:hint="eastAsia" w:ascii="宋体" w:hAnsi="宋体" w:cs="宋体"/>
          <w:b/>
          <w:color w:val="000000"/>
          <w:sz w:val="32"/>
          <w:highlight w:val="none"/>
          <w:lang w:eastAsia="zh-CN"/>
        </w:rPr>
        <w:t xml:space="preserve">JSZC-320582-NDZB-G2025-0019</w:t>
      </w:r>
      <w:r/>
    </w:p>
    <w:p>
      <w:pPr>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t xml:space="preserve">项目属性：服务类</w:t>
      </w:r>
      <w:r/>
    </w:p>
    <w:p>
      <w:pPr>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pStyle w:val="789"/>
        <w:ind w:firstLine="0"/>
        <w:jc w:val="center"/>
        <w:rPr>
          <w:rFonts w:hint="eastAsia" w:cs="宋体"/>
          <w:highlight w:val="none"/>
        </w:rPr>
      </w:pPr>
      <w:r>
        <w:rPr>
          <w:rFonts w:hint="eastAsia" w:cs="宋体"/>
          <w:highlight w:val="none"/>
        </w:rPr>
      </w:r>
      <w:r/>
    </w:p>
    <w:p>
      <w:pPr>
        <w:pStyle w:val="789"/>
        <w:ind w:firstLine="0"/>
        <w:jc w:val="center"/>
        <w:rPr>
          <w:rFonts w:hint="eastAsia" w:cs="宋体"/>
          <w:highlight w:val="none"/>
        </w:rPr>
      </w:pPr>
      <w:r>
        <w:rPr>
          <w:rFonts w:hint="eastAsia" w:cs="宋体"/>
          <w:highlight w:val="none"/>
        </w:rPr>
      </w:r>
      <w:r/>
    </w:p>
    <w:p>
      <w:pPr>
        <w:pStyle w:val="789"/>
        <w:ind w:firstLine="0"/>
        <w:jc w:val="center"/>
        <w:rPr>
          <w:rFonts w:hint="eastAsia" w:cs="宋体"/>
          <w:highlight w:val="none"/>
        </w:rPr>
      </w:pPr>
      <w:r>
        <w:rPr>
          <w:rFonts w:hint="eastAsia" w:cs="宋体"/>
          <w:highlight w:val="none"/>
        </w:rPr>
      </w:r>
      <w:r/>
    </w:p>
    <w:p>
      <w:pPr>
        <w:pStyle w:val="789"/>
        <w:ind w:firstLine="0"/>
        <w:jc w:val="center"/>
        <w:rPr>
          <w:rFonts w:hint="eastAsia" w:cs="宋体"/>
          <w:highlight w:val="none"/>
        </w:rPr>
      </w:pPr>
      <w:r>
        <w:rPr>
          <w:rFonts w:hint="eastAsia" w:cs="宋体"/>
          <w:highlight w:val="none"/>
        </w:rPr>
      </w:r>
      <w:r/>
    </w:p>
    <w:p>
      <w:pPr>
        <w:pStyle w:val="789"/>
        <w:ind w:firstLine="0"/>
        <w:jc w:val="center"/>
        <w:rPr>
          <w:rFonts w:hint="eastAsia" w:cs="宋体"/>
          <w:highlight w:val="none"/>
        </w:rPr>
      </w:pPr>
      <w:r>
        <w:rPr>
          <w:rFonts w:hint="eastAsia" w:cs="宋体"/>
          <w:highlight w:val="none"/>
        </w:rPr>
      </w:r>
      <w:r/>
    </w:p>
    <w:p>
      <w:pPr>
        <w:pStyle w:val="789"/>
        <w:ind w:firstLine="0"/>
        <w:jc w:val="center"/>
        <w:rPr>
          <w:rFonts w:hint="eastAsia" w:cs="宋体"/>
          <w:highlight w:val="none"/>
        </w:rPr>
      </w:pPr>
      <w:r>
        <w:rPr>
          <w:rFonts w:hint="eastAsia" w:cs="宋体"/>
          <w:highlight w:val="none"/>
        </w:rPr>
      </w:r>
      <w:r/>
    </w:p>
    <w:p>
      <w:pPr>
        <w:pStyle w:val="789"/>
        <w:ind w:firstLine="0"/>
        <w:jc w:val="center"/>
        <w:rPr>
          <w:rFonts w:hint="eastAsia" w:cs="宋体"/>
          <w:highlight w:val="none"/>
        </w:rPr>
      </w:pPr>
      <w:r>
        <w:rPr>
          <w:rFonts w:hint="eastAsia" w:cs="宋体"/>
          <w:highlight w:val="none"/>
        </w:rPr>
      </w:r>
      <w:r/>
    </w:p>
    <w:p>
      <w:pPr>
        <w:pStyle w:val="789"/>
        <w:ind w:firstLine="0"/>
        <w:jc w:val="center"/>
        <w:rPr>
          <w:rFonts w:hint="eastAsia" w:cs="宋体"/>
          <w:highlight w:val="none"/>
        </w:rPr>
      </w:pPr>
      <w:r>
        <w:rPr>
          <w:rFonts w:hint="eastAsia" w:cs="宋体"/>
          <w:highlight w:val="none"/>
        </w:rPr>
      </w:r>
      <w:r/>
    </w:p>
    <w:p>
      <w:pPr>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t xml:space="preserve">诺德招投标咨询服务（苏州）有限公司</w:t>
      </w:r>
      <w:r/>
    </w:p>
    <w:p>
      <w:pPr>
        <w:ind w:firstLine="2891"/>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t xml:space="preserve">2025年12月</w:t>
      </w:r>
      <w:r>
        <w:rPr>
          <w:rFonts w:hint="eastAsia" w:ascii="宋体" w:hAnsi="宋体" w:cs="宋体"/>
          <w:b/>
          <w:color w:val="000000"/>
          <w:sz w:val="32"/>
          <w:highlight w:val="none"/>
          <w:lang w:val="en-US" w:eastAsia="zh-CN"/>
        </w:rPr>
        <w:t xml:space="preserve">05</w:t>
      </w:r>
      <w:r>
        <w:rPr>
          <w:rFonts w:hint="eastAsia" w:ascii="宋体" w:hAnsi="宋体" w:cs="宋体"/>
          <w:b/>
          <w:color w:val="000000"/>
          <w:sz w:val="32"/>
          <w:highlight w:val="none"/>
        </w:rPr>
        <w:t xml:space="preserve">日</w:t>
      </w:r>
      <w:r>
        <w:rPr>
          <w:rFonts w:hint="eastAsia" w:ascii="宋体" w:hAnsi="宋体" w:cs="宋体"/>
          <w:b/>
          <w:color w:val="000000"/>
          <w:sz w:val="32"/>
          <w:highlight w:val="none"/>
        </w:rPr>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line="85"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highlight w:val="none"/>
        </w:rPr>
        <w:t xml:space="preserve">总 目 录</w:t>
      </w:r>
      <w:r/>
    </w:p>
    <w:sdt>
      <w:sdtPr>
        <w15:appearance w15:val="boundingBox"/>
        <w:id w:val="147475873"/>
        <w:docPartObj>
          <w:docPartGallery w:val="Table of Contents"/>
          <w:docPartUnique w:val="true"/>
        </w:docPartObj>
        <w:rPr>
          <w:rFonts w:hint="eastAsia" w:ascii="宋体" w:hAnsi="宋体" w:cs="宋体"/>
          <w:highlight w:val="none"/>
        </w:rPr>
      </w:sdtPr>
      <w:sdtContent>
        <w:p>
          <w:pPr>
            <w:jc w:val="center"/>
            <w:rPr>
              <w:rFonts w:hint="eastAsia" w:ascii="宋体" w:hAnsi="宋体" w:cs="宋体"/>
              <w:highlight w:val="none"/>
            </w:rPr>
          </w:pPr>
          <w:r>
            <w:rPr>
              <w:rFonts w:hint="eastAsia" w:ascii="宋体" w:hAnsi="宋体" w:cs="宋体"/>
              <w:highlight w:val="none"/>
            </w:rPr>
          </w:r>
          <w:r/>
        </w:p>
        <w:p>
          <w:pPr>
            <w:pStyle w:val="769"/>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TOC \o "1-2" \h \u </w:instrText>
          </w:r>
          <w:r>
            <w:rPr>
              <w:rFonts w:hint="eastAsia" w:ascii="宋体" w:hAnsi="宋体" w:cs="宋体"/>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_Toc5608 </w:instrText>
          </w:r>
          <w:r>
            <w:rPr>
              <w:rFonts w:hint="eastAsia" w:ascii="宋体" w:hAnsi="宋体" w:cs="宋体"/>
              <w:highlight w:val="none"/>
            </w:rPr>
            <w:fldChar w:fldCharType="separate"/>
          </w:r>
          <w:r>
            <w:rPr>
              <w:rFonts w:hint="eastAsia" w:ascii="宋体" w:cs="宋体"/>
              <w:highlight w:val="none"/>
            </w:rPr>
            <w:t xml:space="preserve">第一章 投标邀请</w:t>
          </w:r>
          <w:r>
            <w:rPr>
              <w:highlight w:val="none"/>
            </w:rPr>
            <w:tab/>
          </w:r>
          <w:r>
            <w:rPr>
              <w:highlight w:val="none"/>
            </w:rPr>
            <w:fldChar w:fldCharType="begin"/>
          </w:r>
          <w:r>
            <w:rPr>
              <w:highlight w:val="none"/>
            </w:rPr>
            <w:instrText xml:space="preserve"> PAGEREF _Toc5608 \h </w:instrText>
          </w:r>
          <w:r>
            <w:rPr>
              <w:highlight w:val="none"/>
            </w:rPr>
            <w:fldChar w:fldCharType="separate"/>
          </w:r>
          <w:r>
            <w:rPr>
              <w:highlight w:val="none"/>
            </w:rPr>
            <w:t xml:space="preserve">3</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_Toc15040 </w:instrText>
          </w:r>
          <w:r>
            <w:rPr>
              <w:rFonts w:hint="eastAsia" w:ascii="宋体" w:hAnsi="宋体" w:cs="宋体"/>
              <w:highlight w:val="none"/>
            </w:rPr>
            <w:fldChar w:fldCharType="separate"/>
          </w:r>
          <w:r>
            <w:rPr>
              <w:rFonts w:hint="eastAsia" w:ascii="宋体" w:hAnsi="宋体" w:cs="宋体"/>
              <w:highlight w:val="none"/>
            </w:rPr>
            <w:t xml:space="preserve">一、项目基本情况</w:t>
          </w:r>
          <w:r>
            <w:rPr>
              <w:highlight w:val="none"/>
            </w:rPr>
            <w:tab/>
          </w:r>
          <w:r>
            <w:rPr>
              <w:highlight w:val="none"/>
            </w:rPr>
            <w:fldChar w:fldCharType="begin"/>
          </w:r>
          <w:r>
            <w:rPr>
              <w:highlight w:val="none"/>
            </w:rPr>
            <w:instrText xml:space="preserve"> PAGEREF _Toc15040 \h </w:instrText>
          </w:r>
          <w:r>
            <w:rPr>
              <w:highlight w:val="none"/>
            </w:rPr>
            <w:fldChar w:fldCharType="separate"/>
          </w:r>
          <w:r>
            <w:rPr>
              <w:highlight w:val="none"/>
            </w:rPr>
            <w:t xml:space="preserve">3</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_Toc2048 </w:instrText>
          </w:r>
          <w:r>
            <w:rPr>
              <w:rFonts w:hint="eastAsia" w:ascii="宋体" w:hAnsi="宋体" w:cs="宋体"/>
              <w:highlight w:val="none"/>
            </w:rPr>
            <w:fldChar w:fldCharType="separate"/>
          </w:r>
          <w:r>
            <w:rPr>
              <w:rFonts w:hint="eastAsia" w:ascii="宋体" w:hAnsi="宋体" w:cs="宋体"/>
              <w:highlight w:val="none"/>
            </w:rPr>
            <w:t xml:space="preserve">二、申请人的资格要求</w:t>
          </w:r>
          <w:r>
            <w:rPr>
              <w:highlight w:val="none"/>
            </w:rPr>
            <w:tab/>
          </w:r>
          <w:r>
            <w:rPr>
              <w:highlight w:val="none"/>
            </w:rPr>
            <w:fldChar w:fldCharType="begin"/>
          </w:r>
          <w:r>
            <w:rPr>
              <w:highlight w:val="none"/>
            </w:rPr>
            <w:instrText xml:space="preserve"> PAGEREF _Toc2048 \h </w:instrText>
          </w:r>
          <w:r>
            <w:rPr>
              <w:highlight w:val="none"/>
            </w:rPr>
            <w:fldChar w:fldCharType="separate"/>
          </w:r>
          <w:r>
            <w:rPr>
              <w:highlight w:val="none"/>
            </w:rPr>
            <w:t xml:space="preserve">3</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_Toc7320 </w:instrText>
          </w:r>
          <w:r>
            <w:rPr>
              <w:rFonts w:hint="eastAsia" w:ascii="宋体" w:hAnsi="宋体" w:cs="宋体"/>
              <w:highlight w:val="none"/>
            </w:rPr>
            <w:fldChar w:fldCharType="separate"/>
          </w:r>
          <w:r>
            <w:rPr>
              <w:rFonts w:hint="eastAsia" w:ascii="宋体" w:hAnsi="宋体" w:cs="宋体"/>
              <w:highlight w:val="none"/>
            </w:rPr>
            <w:t xml:space="preserve">三、获取招标文件</w:t>
          </w:r>
          <w:r>
            <w:rPr>
              <w:highlight w:val="none"/>
            </w:rPr>
            <w:tab/>
          </w:r>
          <w:r>
            <w:rPr>
              <w:highlight w:val="none"/>
            </w:rPr>
            <w:fldChar w:fldCharType="begin"/>
          </w:r>
          <w:r>
            <w:rPr>
              <w:highlight w:val="none"/>
            </w:rPr>
            <w:instrText xml:space="preserve"> PAGEREF _Toc7320 \h </w:instrText>
          </w:r>
          <w:r>
            <w:rPr>
              <w:highlight w:val="none"/>
            </w:rPr>
            <w:fldChar w:fldCharType="separate"/>
          </w:r>
          <w:r>
            <w:rPr>
              <w:highlight w:val="none"/>
            </w:rPr>
            <w:t xml:space="preserve">4</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_Toc6842 </w:instrText>
          </w:r>
          <w:r>
            <w:rPr>
              <w:rFonts w:hint="eastAsia" w:ascii="宋体" w:hAnsi="宋体" w:cs="宋体"/>
              <w:highlight w:val="none"/>
            </w:rPr>
            <w:fldChar w:fldCharType="separate"/>
          </w:r>
          <w:r>
            <w:rPr>
              <w:rFonts w:hint="eastAsia" w:ascii="宋体" w:hAnsi="宋体" w:cs="宋体"/>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_Toc6842 \h </w:instrText>
          </w:r>
          <w:r>
            <w:rPr>
              <w:highlight w:val="none"/>
            </w:rPr>
            <w:fldChar w:fldCharType="separate"/>
          </w:r>
          <w:r>
            <w:rPr>
              <w:highlight w:val="none"/>
            </w:rPr>
            <w:t xml:space="preserve">4</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_Toc6600 </w:instrText>
          </w:r>
          <w:r>
            <w:rPr>
              <w:rFonts w:hint="eastAsia" w:ascii="宋体" w:hAnsi="宋体" w:cs="宋体"/>
              <w:highlight w:val="none"/>
            </w:rPr>
            <w:fldChar w:fldCharType="separate"/>
          </w:r>
          <w:r>
            <w:rPr>
              <w:rFonts w:hint="eastAsia" w:ascii="宋体" w:hAnsi="宋体" w:cs="宋体"/>
              <w:highlight w:val="none"/>
            </w:rPr>
            <w:t xml:space="preserve">五、公告期限</w:t>
          </w:r>
          <w:r>
            <w:rPr>
              <w:highlight w:val="none"/>
            </w:rPr>
            <w:tab/>
          </w:r>
          <w:r>
            <w:rPr>
              <w:highlight w:val="none"/>
            </w:rPr>
            <w:fldChar w:fldCharType="begin"/>
          </w:r>
          <w:r>
            <w:rPr>
              <w:highlight w:val="none"/>
            </w:rPr>
            <w:instrText xml:space="preserve"> PAGEREF _Toc6600 \h </w:instrText>
          </w:r>
          <w:r>
            <w:rPr>
              <w:highlight w:val="none"/>
            </w:rPr>
            <w:fldChar w:fldCharType="separate"/>
          </w:r>
          <w:r>
            <w:rPr>
              <w:highlight w:val="none"/>
            </w:rPr>
            <w:t xml:space="preserve">4</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_Toc26803 </w:instrText>
          </w:r>
          <w:r>
            <w:rPr>
              <w:rFonts w:hint="eastAsia" w:ascii="宋体" w:hAnsi="宋体" w:cs="宋体"/>
              <w:highlight w:val="none"/>
            </w:rPr>
            <w:fldChar w:fldCharType="separate"/>
          </w:r>
          <w:r>
            <w:rPr>
              <w:rFonts w:hint="eastAsia" w:ascii="宋体" w:hAnsi="宋体" w:cs="宋体"/>
              <w:highlight w:val="none"/>
            </w:rPr>
            <w:t xml:space="preserve">六、其他补充事宜</w:t>
          </w:r>
          <w:r>
            <w:rPr>
              <w:highlight w:val="none"/>
            </w:rPr>
            <w:tab/>
          </w:r>
          <w:r>
            <w:rPr>
              <w:highlight w:val="none"/>
            </w:rPr>
            <w:fldChar w:fldCharType="begin"/>
          </w:r>
          <w:r>
            <w:rPr>
              <w:highlight w:val="none"/>
            </w:rPr>
            <w:instrText xml:space="preserve"> PAGEREF _Toc26803 \h </w:instrText>
          </w:r>
          <w:r>
            <w:rPr>
              <w:highlight w:val="none"/>
            </w:rPr>
            <w:fldChar w:fldCharType="separate"/>
          </w:r>
          <w:r>
            <w:rPr>
              <w:highlight w:val="none"/>
            </w:rPr>
            <w:t xml:space="preserve">4</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_Toc11872 </w:instrText>
          </w:r>
          <w:r>
            <w:rPr>
              <w:rFonts w:hint="eastAsia" w:ascii="宋体" w:hAnsi="宋体" w:cs="宋体"/>
              <w:highlight w:val="none"/>
            </w:rPr>
            <w:fldChar w:fldCharType="separate"/>
          </w:r>
          <w:r>
            <w:rPr>
              <w:rFonts w:hint="eastAsia" w:ascii="宋体" w:hAnsi="宋体" w:cs="宋体"/>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_Toc11872 \h </w:instrText>
          </w:r>
          <w:r>
            <w:rPr>
              <w:highlight w:val="none"/>
            </w:rPr>
            <w:fldChar w:fldCharType="separate"/>
          </w:r>
          <w:r>
            <w:rPr>
              <w:highlight w:val="none"/>
            </w:rPr>
            <w:t xml:space="preserve">6</w:t>
          </w:r>
          <w:r>
            <w:rPr>
              <w:highlight w:val="none"/>
            </w:rPr>
            <w:fldChar w:fldCharType="end"/>
          </w:r>
          <w:r>
            <w:rPr>
              <w:rFonts w:hint="eastAsia" w:ascii="宋体" w:hAnsi="宋体" w:cs="宋体"/>
              <w:highlight w:val="none"/>
            </w:rPr>
            <w:fldChar w:fldCharType="end"/>
          </w:r>
          <w:r/>
        </w:p>
        <w:p>
          <w:pPr>
            <w:pStyle w:val="769"/>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_Toc16893 </w:instrText>
          </w:r>
          <w:r>
            <w:rPr>
              <w:rFonts w:hint="eastAsia" w:ascii="宋体" w:hAnsi="宋体" w:cs="宋体"/>
              <w:highlight w:val="none"/>
            </w:rPr>
            <w:fldChar w:fldCharType="separate"/>
          </w:r>
          <w:r>
            <w:rPr>
              <w:rFonts w:hint="eastAsia" w:ascii="宋体" w:cs="宋体"/>
              <w:highlight w:val="none"/>
            </w:rPr>
            <w:t xml:space="preserve">第二章 投标人须知</w:t>
          </w:r>
          <w:r>
            <w:rPr>
              <w:highlight w:val="none"/>
            </w:rPr>
            <w:tab/>
          </w:r>
          <w:r>
            <w:rPr>
              <w:highlight w:val="none"/>
            </w:rPr>
            <w:fldChar w:fldCharType="begin"/>
          </w:r>
          <w:r>
            <w:rPr>
              <w:highlight w:val="none"/>
            </w:rPr>
            <w:instrText xml:space="preserve"> PAGEREF _Toc16893 \h </w:instrText>
          </w:r>
          <w:r>
            <w:rPr>
              <w:highlight w:val="none"/>
            </w:rPr>
            <w:fldChar w:fldCharType="separate"/>
          </w:r>
          <w:r>
            <w:rPr>
              <w:highlight w:val="none"/>
            </w:rPr>
            <w:t xml:space="preserve">7</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_Toc9574 </w:instrText>
          </w:r>
          <w:r>
            <w:rPr>
              <w:rFonts w:hint="eastAsia" w:ascii="宋体" w:hAnsi="宋体" w:cs="宋体"/>
              <w:highlight w:val="none"/>
            </w:rPr>
            <w:fldChar w:fldCharType="separate"/>
          </w:r>
          <w:r>
            <w:rPr>
              <w:rFonts w:hint="eastAsia" w:ascii="宋体" w:hAnsi="宋体" w:cs="宋体"/>
              <w:highlight w:val="none"/>
            </w:rPr>
            <w:t xml:space="preserve">一、总则</w:t>
          </w:r>
          <w:r>
            <w:rPr>
              <w:highlight w:val="none"/>
            </w:rPr>
            <w:tab/>
          </w:r>
          <w:r>
            <w:rPr>
              <w:highlight w:val="none"/>
            </w:rPr>
            <w:fldChar w:fldCharType="begin"/>
          </w:r>
          <w:r>
            <w:rPr>
              <w:highlight w:val="none"/>
            </w:rPr>
            <w:instrText xml:space="preserve"> PAGEREF _Toc9574 \h </w:instrText>
          </w:r>
          <w:r>
            <w:rPr>
              <w:highlight w:val="none"/>
            </w:rPr>
            <w:fldChar w:fldCharType="separate"/>
          </w:r>
          <w:r>
            <w:rPr>
              <w:highlight w:val="none"/>
            </w:rPr>
            <w:t xml:space="preserve">7</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_Toc31706 </w:instrText>
          </w:r>
          <w:r>
            <w:rPr>
              <w:rFonts w:hint="eastAsia" w:ascii="宋体" w:hAnsi="宋体" w:cs="宋体"/>
              <w:highlight w:val="none"/>
            </w:rPr>
            <w:fldChar w:fldCharType="separate"/>
          </w:r>
          <w:r>
            <w:rPr>
              <w:rFonts w:hint="eastAsia" w:ascii="宋体" w:hAnsi="宋体" w:cs="宋体"/>
              <w:highlight w:val="none"/>
            </w:rPr>
            <w:t xml:space="preserve">二、招标文件</w:t>
          </w:r>
          <w:r>
            <w:rPr>
              <w:highlight w:val="none"/>
            </w:rPr>
            <w:tab/>
          </w:r>
          <w:r>
            <w:rPr>
              <w:highlight w:val="none"/>
            </w:rPr>
            <w:fldChar w:fldCharType="begin"/>
          </w:r>
          <w:r>
            <w:rPr>
              <w:highlight w:val="none"/>
            </w:rPr>
            <w:instrText xml:space="preserve"> PAGEREF _Toc31706 \h </w:instrText>
          </w:r>
          <w:r>
            <w:rPr>
              <w:highlight w:val="none"/>
            </w:rPr>
            <w:fldChar w:fldCharType="separate"/>
          </w:r>
          <w:r>
            <w:rPr>
              <w:highlight w:val="none"/>
            </w:rPr>
            <w:t xml:space="preserve">7</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_Toc9247 </w:instrText>
          </w:r>
          <w:r>
            <w:rPr>
              <w:rFonts w:hint="eastAsia" w:ascii="宋体" w:hAnsi="宋体" w:cs="宋体"/>
              <w:highlight w:val="none"/>
            </w:rPr>
            <w:fldChar w:fldCharType="separate"/>
          </w:r>
          <w:r>
            <w:rPr>
              <w:rFonts w:hint="eastAsia" w:ascii="宋体" w:hAnsi="宋体" w:cs="宋体"/>
              <w:highlight w:val="none"/>
            </w:rPr>
            <w:t xml:space="preserve">三、投标文件的编制</w:t>
          </w:r>
          <w:r>
            <w:rPr>
              <w:highlight w:val="none"/>
            </w:rPr>
            <w:tab/>
          </w:r>
          <w:r>
            <w:rPr>
              <w:highlight w:val="none"/>
            </w:rPr>
            <w:fldChar w:fldCharType="begin"/>
          </w:r>
          <w:r>
            <w:rPr>
              <w:highlight w:val="none"/>
            </w:rPr>
            <w:instrText xml:space="preserve"> PAGEREF _Toc9247 \h </w:instrText>
          </w:r>
          <w:r>
            <w:rPr>
              <w:highlight w:val="none"/>
            </w:rPr>
            <w:fldChar w:fldCharType="separate"/>
          </w:r>
          <w:r>
            <w:rPr>
              <w:highlight w:val="none"/>
            </w:rPr>
            <w:t xml:space="preserve">8</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_Toc24414 </w:instrText>
          </w:r>
          <w:r>
            <w:rPr>
              <w:rFonts w:hint="eastAsia" w:ascii="宋体" w:hAnsi="宋体" w:cs="宋体"/>
              <w:highlight w:val="none"/>
            </w:rPr>
            <w:fldChar w:fldCharType="separate"/>
          </w:r>
          <w:r>
            <w:rPr>
              <w:rFonts w:hint="eastAsia" w:ascii="宋体" w:hAnsi="宋体" w:cs="宋体"/>
              <w:highlight w:val="none"/>
            </w:rPr>
            <w:t xml:space="preserve">四、投标文件的制作、上传、递交</w:t>
          </w:r>
          <w:r>
            <w:rPr>
              <w:highlight w:val="none"/>
            </w:rPr>
            <w:tab/>
          </w:r>
          <w:r>
            <w:rPr>
              <w:highlight w:val="none"/>
            </w:rPr>
            <w:fldChar w:fldCharType="begin"/>
          </w:r>
          <w:r>
            <w:rPr>
              <w:highlight w:val="none"/>
            </w:rPr>
            <w:instrText xml:space="preserve"> PAGEREF _Toc24414 \h </w:instrText>
          </w:r>
          <w:r>
            <w:rPr>
              <w:highlight w:val="none"/>
            </w:rPr>
            <w:fldChar w:fldCharType="separate"/>
          </w:r>
          <w:r>
            <w:rPr>
              <w:highlight w:val="none"/>
            </w:rPr>
            <w:t xml:space="preserve">10</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_Toc11434 </w:instrText>
          </w:r>
          <w:r>
            <w:rPr>
              <w:rFonts w:hint="eastAsia" w:ascii="宋体" w:hAnsi="宋体" w:cs="宋体"/>
              <w:highlight w:val="none"/>
            </w:rPr>
            <w:fldChar w:fldCharType="separate"/>
          </w:r>
          <w:r>
            <w:rPr>
              <w:rFonts w:hint="eastAsia" w:ascii="宋体" w:hAnsi="宋体" w:cs="宋体"/>
              <w:highlight w:val="none"/>
            </w:rPr>
            <w:t xml:space="preserve">五、开标与评标</w:t>
          </w:r>
          <w:r>
            <w:rPr>
              <w:highlight w:val="none"/>
            </w:rPr>
            <w:tab/>
          </w:r>
          <w:r>
            <w:rPr>
              <w:highlight w:val="none"/>
            </w:rPr>
            <w:fldChar w:fldCharType="begin"/>
          </w:r>
          <w:r>
            <w:rPr>
              <w:highlight w:val="none"/>
            </w:rPr>
            <w:instrText xml:space="preserve"> PAGEREF _Toc11434 \h </w:instrText>
          </w:r>
          <w:r>
            <w:rPr>
              <w:highlight w:val="none"/>
            </w:rPr>
            <w:fldChar w:fldCharType="separate"/>
          </w:r>
          <w:r>
            <w:rPr>
              <w:highlight w:val="none"/>
            </w:rPr>
            <w:t xml:space="preserve">11</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_Toc13852 </w:instrText>
          </w:r>
          <w:r>
            <w:rPr>
              <w:rFonts w:hint="eastAsia" w:ascii="宋体" w:hAnsi="宋体" w:cs="宋体"/>
              <w:highlight w:val="none"/>
            </w:rPr>
            <w:fldChar w:fldCharType="separate"/>
          </w:r>
          <w:r>
            <w:rPr>
              <w:rFonts w:hint="eastAsia" w:ascii="宋体" w:hAnsi="宋体" w:cs="宋体"/>
              <w:highlight w:val="none"/>
            </w:rPr>
            <w:t xml:space="preserve">六、定标</w:t>
          </w:r>
          <w:r>
            <w:rPr>
              <w:highlight w:val="none"/>
            </w:rPr>
            <w:tab/>
          </w:r>
          <w:r>
            <w:rPr>
              <w:highlight w:val="none"/>
            </w:rPr>
            <w:fldChar w:fldCharType="begin"/>
          </w:r>
          <w:r>
            <w:rPr>
              <w:highlight w:val="none"/>
            </w:rPr>
            <w:instrText xml:space="preserve"> PAGEREF _Toc13852 \h </w:instrText>
          </w:r>
          <w:r>
            <w:rPr>
              <w:highlight w:val="none"/>
            </w:rPr>
            <w:fldChar w:fldCharType="separate"/>
          </w:r>
          <w:r>
            <w:rPr>
              <w:highlight w:val="none"/>
            </w:rPr>
            <w:t xml:space="preserve">15</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_Toc14964 </w:instrText>
          </w:r>
          <w:r>
            <w:rPr>
              <w:rFonts w:hint="eastAsia" w:ascii="宋体" w:hAnsi="宋体" w:cs="宋体"/>
              <w:highlight w:val="none"/>
            </w:rPr>
            <w:fldChar w:fldCharType="separate"/>
          </w:r>
          <w:r>
            <w:rPr>
              <w:rFonts w:hint="eastAsia" w:ascii="宋体" w:hAnsi="宋体" w:cs="宋体"/>
              <w:highlight w:val="none"/>
            </w:rPr>
            <w:t xml:space="preserve">七、授予合同</w:t>
          </w:r>
          <w:r>
            <w:rPr>
              <w:highlight w:val="none"/>
            </w:rPr>
            <w:tab/>
          </w:r>
          <w:r>
            <w:rPr>
              <w:highlight w:val="none"/>
            </w:rPr>
            <w:fldChar w:fldCharType="begin"/>
          </w:r>
          <w:r>
            <w:rPr>
              <w:highlight w:val="none"/>
            </w:rPr>
            <w:instrText xml:space="preserve"> PAGEREF _Toc14964 \h </w:instrText>
          </w:r>
          <w:r>
            <w:rPr>
              <w:highlight w:val="none"/>
            </w:rPr>
            <w:fldChar w:fldCharType="separate"/>
          </w:r>
          <w:r>
            <w:rPr>
              <w:highlight w:val="none"/>
            </w:rPr>
            <w:t xml:space="preserve">17</w:t>
          </w:r>
          <w:r>
            <w:rPr>
              <w:highlight w:val="none"/>
            </w:rPr>
            <w:fldChar w:fldCharType="end"/>
          </w:r>
          <w:r>
            <w:rPr>
              <w:rFonts w:hint="eastAsia" w:ascii="宋体" w:hAnsi="宋体" w:cs="宋体"/>
              <w:highlight w:val="none"/>
            </w:rPr>
            <w:fldChar w:fldCharType="end"/>
          </w:r>
          <w:r/>
        </w:p>
        <w:p>
          <w:pPr>
            <w:pStyle w:val="769"/>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_Toc11597 </w:instrText>
          </w:r>
          <w:r>
            <w:rPr>
              <w:rFonts w:hint="eastAsia" w:ascii="宋体" w:hAnsi="宋体" w:cs="宋体"/>
              <w:highlight w:val="none"/>
            </w:rPr>
            <w:fldChar w:fldCharType="separate"/>
          </w:r>
          <w:r>
            <w:rPr>
              <w:rFonts w:hint="eastAsia" w:ascii="宋体" w:cs="宋体"/>
              <w:highlight w:val="none"/>
            </w:rPr>
            <w:t xml:space="preserve">第三章 合同条款及格式</w:t>
          </w:r>
          <w:r>
            <w:rPr>
              <w:highlight w:val="none"/>
            </w:rPr>
            <w:tab/>
          </w:r>
          <w:r>
            <w:rPr>
              <w:highlight w:val="none"/>
            </w:rPr>
            <w:fldChar w:fldCharType="begin"/>
          </w:r>
          <w:r>
            <w:rPr>
              <w:highlight w:val="none"/>
            </w:rPr>
            <w:instrText xml:space="preserve"> PAGEREF _Toc11597 \h </w:instrText>
          </w:r>
          <w:r>
            <w:rPr>
              <w:highlight w:val="none"/>
            </w:rPr>
            <w:fldChar w:fldCharType="separate"/>
          </w:r>
          <w:r>
            <w:rPr>
              <w:highlight w:val="none"/>
            </w:rPr>
            <w:t xml:space="preserve">19</w:t>
          </w:r>
          <w:r>
            <w:rPr>
              <w:highlight w:val="none"/>
            </w:rPr>
            <w:fldChar w:fldCharType="end"/>
          </w:r>
          <w:r>
            <w:rPr>
              <w:rFonts w:hint="eastAsia" w:ascii="宋体" w:hAnsi="宋体" w:cs="宋体"/>
              <w:highlight w:val="none"/>
            </w:rPr>
            <w:fldChar w:fldCharType="end"/>
          </w:r>
          <w:r/>
        </w:p>
        <w:p>
          <w:pPr>
            <w:pStyle w:val="769"/>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_Toc28497 </w:instrText>
          </w:r>
          <w:r>
            <w:rPr>
              <w:rFonts w:hint="eastAsia" w:ascii="宋体" w:hAnsi="宋体" w:cs="宋体"/>
              <w:highlight w:val="none"/>
            </w:rPr>
            <w:fldChar w:fldCharType="separate"/>
          </w:r>
          <w:r>
            <w:rPr>
              <w:rFonts w:hint="eastAsia" w:ascii="宋体" w:cs="宋体"/>
              <w:highlight w:val="none"/>
            </w:rPr>
            <w:t xml:space="preserve">第四章 项目需求</w:t>
          </w:r>
          <w:r>
            <w:rPr>
              <w:highlight w:val="none"/>
            </w:rPr>
            <w:tab/>
          </w:r>
          <w:r>
            <w:rPr>
              <w:highlight w:val="none"/>
            </w:rPr>
            <w:fldChar w:fldCharType="begin"/>
          </w:r>
          <w:r>
            <w:rPr>
              <w:highlight w:val="none"/>
            </w:rPr>
            <w:instrText xml:space="preserve"> PAGEREF _Toc28497 \h </w:instrText>
          </w:r>
          <w:r>
            <w:rPr>
              <w:highlight w:val="none"/>
            </w:rPr>
            <w:fldChar w:fldCharType="separate"/>
          </w:r>
          <w:r>
            <w:rPr>
              <w:highlight w:val="none"/>
            </w:rPr>
            <w:t xml:space="preserve">25</w:t>
          </w:r>
          <w:r>
            <w:rPr>
              <w:highlight w:val="none"/>
            </w:rPr>
            <w:fldChar w:fldCharType="end"/>
          </w:r>
          <w:r>
            <w:rPr>
              <w:rFonts w:hint="eastAsia" w:ascii="宋体" w:hAnsi="宋体" w:cs="宋体"/>
              <w:highlight w:val="none"/>
            </w:rPr>
            <w:fldChar w:fldCharType="end"/>
          </w:r>
          <w:r/>
        </w:p>
        <w:p>
          <w:pPr>
            <w:pStyle w:val="769"/>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_Toc19213 </w:instrText>
          </w:r>
          <w:r>
            <w:rPr>
              <w:rFonts w:hint="eastAsia" w:ascii="宋体" w:hAnsi="宋体" w:cs="宋体"/>
              <w:highlight w:val="none"/>
            </w:rPr>
            <w:fldChar w:fldCharType="separate"/>
          </w:r>
          <w:r>
            <w:rPr>
              <w:rFonts w:hint="eastAsia" w:ascii="宋体" w:cs="宋体"/>
              <w:highlight w:val="none"/>
            </w:rPr>
            <w:t xml:space="preserve">第五章 评标方法与评标标准</w:t>
          </w:r>
          <w:r>
            <w:rPr>
              <w:highlight w:val="none"/>
            </w:rPr>
            <w:tab/>
          </w:r>
          <w:r>
            <w:rPr>
              <w:highlight w:val="none"/>
            </w:rPr>
            <w:fldChar w:fldCharType="begin"/>
          </w:r>
          <w:r>
            <w:rPr>
              <w:highlight w:val="none"/>
            </w:rPr>
            <w:instrText xml:space="preserve"> PAGEREF _Toc19213 \h </w:instrText>
          </w:r>
          <w:r>
            <w:rPr>
              <w:highlight w:val="none"/>
            </w:rPr>
            <w:fldChar w:fldCharType="separate"/>
          </w:r>
          <w:r>
            <w:rPr>
              <w:highlight w:val="none"/>
            </w:rPr>
            <w:t xml:space="preserve">41</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_Toc15922 </w:instrText>
          </w:r>
          <w:r>
            <w:rPr>
              <w:rFonts w:hint="eastAsia" w:ascii="宋体" w:hAnsi="宋体" w:cs="宋体"/>
              <w:highlight w:val="none"/>
            </w:rPr>
            <w:fldChar w:fldCharType="separate"/>
          </w:r>
          <w:r>
            <w:rPr>
              <w:rFonts w:hint="eastAsia" w:ascii="宋体" w:hAnsi="宋体" w:cs="宋体"/>
              <w:highlight w:val="none"/>
            </w:rPr>
            <w:t xml:space="preserve">一、评标方法与定标原则</w:t>
          </w:r>
          <w:r>
            <w:rPr>
              <w:highlight w:val="none"/>
            </w:rPr>
            <w:tab/>
          </w:r>
          <w:r>
            <w:rPr>
              <w:highlight w:val="none"/>
            </w:rPr>
            <w:fldChar w:fldCharType="begin"/>
          </w:r>
          <w:r>
            <w:rPr>
              <w:highlight w:val="none"/>
            </w:rPr>
            <w:instrText xml:space="preserve"> PAGEREF _Toc15922 \h </w:instrText>
          </w:r>
          <w:r>
            <w:rPr>
              <w:highlight w:val="none"/>
            </w:rPr>
            <w:fldChar w:fldCharType="separate"/>
          </w:r>
          <w:r>
            <w:rPr>
              <w:highlight w:val="none"/>
            </w:rPr>
            <w:t xml:space="preserve">41</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_Toc20132 </w:instrText>
          </w:r>
          <w:r>
            <w:rPr>
              <w:rFonts w:hint="eastAsia" w:ascii="宋体" w:hAnsi="宋体" w:cs="宋体"/>
              <w:highlight w:val="none"/>
            </w:rPr>
            <w:fldChar w:fldCharType="separate"/>
          </w:r>
          <w:r>
            <w:rPr>
              <w:rFonts w:hint="eastAsia" w:ascii="宋体" w:hAnsi="宋体" w:cs="宋体"/>
              <w:highlight w:val="none"/>
            </w:rPr>
            <w:t xml:space="preserve">二、评标标准</w:t>
          </w:r>
          <w:r>
            <w:rPr>
              <w:highlight w:val="none"/>
            </w:rPr>
            <w:tab/>
          </w:r>
          <w:r>
            <w:rPr>
              <w:highlight w:val="none"/>
            </w:rPr>
            <w:fldChar w:fldCharType="begin"/>
          </w:r>
          <w:r>
            <w:rPr>
              <w:highlight w:val="none"/>
            </w:rPr>
            <w:instrText xml:space="preserve"> PAGEREF _Toc20132 \h </w:instrText>
          </w:r>
          <w:r>
            <w:rPr>
              <w:highlight w:val="none"/>
            </w:rPr>
            <w:fldChar w:fldCharType="separate"/>
          </w:r>
          <w:r>
            <w:rPr>
              <w:highlight w:val="none"/>
            </w:rPr>
            <w:t xml:space="preserve">41</w:t>
          </w:r>
          <w:r>
            <w:rPr>
              <w:highlight w:val="none"/>
            </w:rPr>
            <w:fldChar w:fldCharType="end"/>
          </w:r>
          <w:r>
            <w:rPr>
              <w:rFonts w:hint="eastAsia" w:ascii="宋体" w:hAnsi="宋体" w:cs="宋体"/>
              <w:highlight w:val="none"/>
            </w:rPr>
            <w:fldChar w:fldCharType="end"/>
          </w:r>
          <w:r/>
        </w:p>
        <w:p>
          <w:pPr>
            <w:pStyle w:val="769"/>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_Toc10462 </w:instrText>
          </w:r>
          <w:r>
            <w:rPr>
              <w:rFonts w:hint="eastAsia" w:ascii="宋体" w:hAnsi="宋体" w:cs="宋体"/>
              <w:highlight w:val="none"/>
            </w:rPr>
            <w:fldChar w:fldCharType="separate"/>
          </w:r>
          <w:r>
            <w:rPr>
              <w:rFonts w:hint="eastAsia" w:ascii="宋体" w:cs="宋体"/>
              <w:highlight w:val="none"/>
            </w:rPr>
            <w:t xml:space="preserve">第六章 投标文件格式</w:t>
          </w:r>
          <w:r>
            <w:rPr>
              <w:highlight w:val="none"/>
            </w:rPr>
            <w:tab/>
          </w:r>
          <w:r>
            <w:rPr>
              <w:highlight w:val="none"/>
            </w:rPr>
            <w:fldChar w:fldCharType="begin"/>
          </w:r>
          <w:r>
            <w:rPr>
              <w:highlight w:val="none"/>
            </w:rPr>
            <w:instrText xml:space="preserve"> PAGEREF _Toc10462 \h </w:instrText>
          </w:r>
          <w:r>
            <w:rPr>
              <w:highlight w:val="none"/>
            </w:rPr>
            <w:fldChar w:fldCharType="separate"/>
          </w:r>
          <w:r>
            <w:rPr>
              <w:highlight w:val="none"/>
            </w:rPr>
            <w:t xml:space="preserve">44</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_Toc23541 </w:instrText>
          </w:r>
          <w:r>
            <w:rPr>
              <w:rFonts w:hint="eastAsia" w:ascii="宋体" w:hAnsi="宋体" w:cs="宋体"/>
              <w:highlight w:val="none"/>
            </w:rPr>
            <w:fldChar w:fldCharType="separate"/>
          </w:r>
          <w:r>
            <w:rPr>
              <w:rFonts w:hint="eastAsia" w:ascii="宋体" w:hAnsi="宋体" w:cs="宋体"/>
              <w:highlight w:val="none"/>
            </w:rPr>
            <w:t xml:space="preserve">一、封面</w:t>
          </w:r>
          <w:r>
            <w:rPr>
              <w:highlight w:val="none"/>
            </w:rPr>
            <w:tab/>
          </w:r>
          <w:r>
            <w:rPr>
              <w:highlight w:val="none"/>
            </w:rPr>
            <w:fldChar w:fldCharType="begin"/>
          </w:r>
          <w:r>
            <w:rPr>
              <w:highlight w:val="none"/>
            </w:rPr>
            <w:instrText xml:space="preserve"> PAGEREF _Toc23541 \h </w:instrText>
          </w:r>
          <w:r>
            <w:rPr>
              <w:highlight w:val="none"/>
            </w:rPr>
            <w:fldChar w:fldCharType="separate"/>
          </w:r>
          <w:r>
            <w:rPr>
              <w:highlight w:val="none"/>
            </w:rPr>
            <w:t xml:space="preserve">45</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_Toc4113 </w:instrText>
          </w:r>
          <w:r>
            <w:rPr>
              <w:rFonts w:hint="eastAsia" w:ascii="宋体" w:hAnsi="宋体" w:cs="宋体"/>
              <w:highlight w:val="none"/>
            </w:rPr>
            <w:fldChar w:fldCharType="separate"/>
          </w:r>
          <w:r>
            <w:rPr>
              <w:rFonts w:hint="eastAsia" w:ascii="宋体" w:hAnsi="宋体" w:cs="宋体"/>
              <w:highlight w:val="none"/>
            </w:rPr>
            <w:t xml:space="preserve">二、投标函</w:t>
          </w:r>
          <w:r>
            <w:rPr>
              <w:highlight w:val="none"/>
            </w:rPr>
            <w:tab/>
          </w:r>
          <w:r>
            <w:rPr>
              <w:highlight w:val="none"/>
            </w:rPr>
            <w:fldChar w:fldCharType="begin"/>
          </w:r>
          <w:r>
            <w:rPr>
              <w:highlight w:val="none"/>
            </w:rPr>
            <w:instrText xml:space="preserve"> PAGEREF _Toc4113 \h </w:instrText>
          </w:r>
          <w:r>
            <w:rPr>
              <w:highlight w:val="none"/>
            </w:rPr>
            <w:fldChar w:fldCharType="separate"/>
          </w:r>
          <w:r>
            <w:rPr>
              <w:highlight w:val="none"/>
            </w:rPr>
            <w:t xml:space="preserve">46</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_Toc5001 </w:instrText>
          </w:r>
          <w:r>
            <w:rPr>
              <w:rFonts w:hint="eastAsia" w:ascii="宋体" w:hAnsi="宋体" w:cs="宋体"/>
              <w:highlight w:val="none"/>
            </w:rPr>
            <w:fldChar w:fldCharType="separate"/>
          </w:r>
          <w:r>
            <w:rPr>
              <w:rFonts w:hint="eastAsia" w:ascii="宋体" w:hAnsi="宋体" w:cs="宋体"/>
              <w:highlight w:val="none"/>
            </w:rPr>
            <w:t xml:space="preserve">三、开标一览表</w:t>
          </w:r>
          <w:r>
            <w:rPr>
              <w:highlight w:val="none"/>
            </w:rPr>
            <w:tab/>
          </w:r>
          <w:r>
            <w:rPr>
              <w:highlight w:val="none"/>
            </w:rPr>
            <w:fldChar w:fldCharType="begin"/>
          </w:r>
          <w:r>
            <w:rPr>
              <w:highlight w:val="none"/>
            </w:rPr>
            <w:instrText xml:space="preserve"> PAGEREF _Toc5001 \h </w:instrText>
          </w:r>
          <w:r>
            <w:rPr>
              <w:highlight w:val="none"/>
            </w:rPr>
            <w:fldChar w:fldCharType="separate"/>
          </w:r>
          <w:r>
            <w:rPr>
              <w:highlight w:val="none"/>
            </w:rPr>
            <w:t xml:space="preserve">47</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_Toc20972 </w:instrText>
          </w:r>
          <w:r>
            <w:rPr>
              <w:rFonts w:hint="eastAsia" w:ascii="宋体" w:hAnsi="宋体" w:cs="宋体"/>
              <w:highlight w:val="none"/>
            </w:rPr>
            <w:fldChar w:fldCharType="separate"/>
          </w:r>
          <w:r>
            <w:rPr>
              <w:rFonts w:hint="eastAsia"/>
              <w:highlight w:val="none"/>
            </w:rPr>
            <w:t xml:space="preserve">四、分项报价表</w:t>
          </w:r>
          <w:r>
            <w:rPr>
              <w:highlight w:val="none"/>
            </w:rPr>
            <w:tab/>
          </w:r>
          <w:r>
            <w:rPr>
              <w:highlight w:val="none"/>
            </w:rPr>
            <w:fldChar w:fldCharType="begin"/>
          </w:r>
          <w:r>
            <w:rPr>
              <w:highlight w:val="none"/>
            </w:rPr>
            <w:instrText xml:space="preserve"> PAGEREF _Toc20972 \h </w:instrText>
          </w:r>
          <w:r>
            <w:rPr>
              <w:highlight w:val="none"/>
            </w:rPr>
            <w:fldChar w:fldCharType="separate"/>
          </w:r>
          <w:r>
            <w:rPr>
              <w:highlight w:val="none"/>
            </w:rPr>
            <w:t xml:space="preserve">48</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_Toc978 </w:instrText>
          </w:r>
          <w:r>
            <w:rPr>
              <w:rFonts w:hint="eastAsia" w:ascii="宋体" w:hAnsi="宋体" w:cs="宋体"/>
              <w:highlight w:val="none"/>
            </w:rPr>
            <w:fldChar w:fldCharType="separate"/>
          </w:r>
          <w:r>
            <w:rPr>
              <w:rFonts w:hint="eastAsia" w:ascii="宋体" w:hAnsi="宋体" w:cs="宋体"/>
              <w:highlight w:val="none"/>
            </w:rPr>
            <w:t xml:space="preserve">五、资格证明文件</w:t>
          </w:r>
          <w:r>
            <w:rPr>
              <w:highlight w:val="none"/>
            </w:rPr>
            <w:tab/>
          </w:r>
          <w:r>
            <w:rPr>
              <w:highlight w:val="none"/>
            </w:rPr>
            <w:fldChar w:fldCharType="begin"/>
          </w:r>
          <w:r>
            <w:rPr>
              <w:highlight w:val="none"/>
            </w:rPr>
            <w:instrText xml:space="preserve"> PAGEREF _Toc978 \h </w:instrText>
          </w:r>
          <w:r>
            <w:rPr>
              <w:highlight w:val="none"/>
            </w:rPr>
            <w:fldChar w:fldCharType="separate"/>
          </w:r>
          <w:r>
            <w:rPr>
              <w:highlight w:val="none"/>
            </w:rPr>
            <w:t xml:space="preserve">49</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_Toc4259 </w:instrText>
          </w:r>
          <w:r>
            <w:rPr>
              <w:rFonts w:hint="eastAsia" w:ascii="宋体" w:hAnsi="宋体" w:cs="宋体"/>
              <w:highlight w:val="none"/>
            </w:rPr>
            <w:fldChar w:fldCharType="separate"/>
          </w:r>
          <w:r>
            <w:rPr>
              <w:rFonts w:hint="eastAsia" w:ascii="宋体" w:hAnsi="宋体" w:cs="宋体"/>
              <w:highlight w:val="none"/>
            </w:rPr>
            <w:t xml:space="preserve">六、第四章项目需求中实质性要求响应对照表</w:t>
          </w:r>
          <w:r>
            <w:rPr>
              <w:highlight w:val="none"/>
            </w:rPr>
            <w:tab/>
          </w:r>
          <w:r>
            <w:rPr>
              <w:highlight w:val="none"/>
            </w:rPr>
            <w:fldChar w:fldCharType="begin"/>
          </w:r>
          <w:r>
            <w:rPr>
              <w:highlight w:val="none"/>
            </w:rPr>
            <w:instrText xml:space="preserve"> PAGEREF _Toc4259 \h </w:instrText>
          </w:r>
          <w:r>
            <w:rPr>
              <w:highlight w:val="none"/>
            </w:rPr>
            <w:fldChar w:fldCharType="separate"/>
          </w:r>
          <w:r>
            <w:rPr>
              <w:highlight w:val="none"/>
            </w:rPr>
            <w:t xml:space="preserve">62</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_Toc1429 </w:instrText>
          </w:r>
          <w:r>
            <w:rPr>
              <w:rFonts w:hint="eastAsia" w:ascii="宋体" w:hAnsi="宋体" w:cs="宋体"/>
              <w:highlight w:val="none"/>
            </w:rPr>
            <w:fldChar w:fldCharType="separate"/>
          </w:r>
          <w:r>
            <w:rPr>
              <w:rFonts w:hint="eastAsia" w:ascii="宋体" w:hAnsi="宋体" w:cs="宋体"/>
              <w:highlight w:val="none"/>
            </w:rPr>
            <w:t xml:space="preserve">七、服务方案</w:t>
          </w:r>
          <w:r>
            <w:rPr>
              <w:highlight w:val="none"/>
            </w:rPr>
            <w:tab/>
          </w:r>
          <w:r>
            <w:rPr>
              <w:highlight w:val="none"/>
            </w:rPr>
            <w:fldChar w:fldCharType="begin"/>
          </w:r>
          <w:r>
            <w:rPr>
              <w:highlight w:val="none"/>
            </w:rPr>
            <w:instrText xml:space="preserve"> PAGEREF _Toc1429 \h </w:instrText>
          </w:r>
          <w:r>
            <w:rPr>
              <w:highlight w:val="none"/>
            </w:rPr>
            <w:fldChar w:fldCharType="separate"/>
          </w:r>
          <w:r>
            <w:rPr>
              <w:highlight w:val="none"/>
            </w:rPr>
            <w:t xml:space="preserve">63</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_Toc3010 </w:instrText>
          </w:r>
          <w:r>
            <w:rPr>
              <w:rFonts w:hint="eastAsia" w:ascii="宋体" w:hAnsi="宋体" w:cs="宋体"/>
              <w:highlight w:val="none"/>
            </w:rPr>
            <w:fldChar w:fldCharType="separate"/>
          </w:r>
          <w:r>
            <w:rPr>
              <w:rFonts w:hint="eastAsia" w:ascii="宋体" w:hAnsi="宋体" w:cs="宋体"/>
              <w:highlight w:val="none"/>
            </w:rPr>
            <w:t xml:space="preserve">八、投标人情况介绍（如有）</w:t>
          </w:r>
          <w:r>
            <w:rPr>
              <w:highlight w:val="none"/>
            </w:rPr>
            <w:tab/>
          </w:r>
          <w:r>
            <w:rPr>
              <w:highlight w:val="none"/>
            </w:rPr>
            <w:fldChar w:fldCharType="begin"/>
          </w:r>
          <w:r>
            <w:rPr>
              <w:highlight w:val="none"/>
            </w:rPr>
            <w:instrText xml:space="preserve"> PAGEREF _Toc3010 \h </w:instrText>
          </w:r>
          <w:r>
            <w:rPr>
              <w:highlight w:val="none"/>
            </w:rPr>
            <w:fldChar w:fldCharType="separate"/>
          </w:r>
          <w:r>
            <w:rPr>
              <w:highlight w:val="none"/>
            </w:rPr>
            <w:t xml:space="preserve">64</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_Toc25760 </w:instrText>
          </w:r>
          <w:r>
            <w:rPr>
              <w:rFonts w:hint="eastAsia" w:ascii="宋体" w:hAnsi="宋体" w:cs="宋体"/>
              <w:highlight w:val="none"/>
            </w:rPr>
            <w:fldChar w:fldCharType="separate"/>
          </w:r>
          <w:r>
            <w:rPr>
              <w:rFonts w:hint="eastAsia" w:ascii="宋体" w:hAnsi="宋体" w:cs="宋体"/>
              <w:highlight w:val="none"/>
            </w:rPr>
            <w:t xml:space="preserve">九、服务要求响应及偏离表</w:t>
          </w:r>
          <w:r>
            <w:rPr>
              <w:highlight w:val="none"/>
            </w:rPr>
            <w:tab/>
          </w:r>
          <w:r>
            <w:rPr>
              <w:highlight w:val="none"/>
            </w:rPr>
            <w:fldChar w:fldCharType="begin"/>
          </w:r>
          <w:r>
            <w:rPr>
              <w:highlight w:val="none"/>
            </w:rPr>
            <w:instrText xml:space="preserve"> PAGEREF _Toc25760 \h </w:instrText>
          </w:r>
          <w:r>
            <w:rPr>
              <w:highlight w:val="none"/>
            </w:rPr>
            <w:fldChar w:fldCharType="separate"/>
          </w:r>
          <w:r>
            <w:rPr>
              <w:highlight w:val="none"/>
            </w:rPr>
            <w:t xml:space="preserve">67</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_Toc2185 </w:instrText>
          </w:r>
          <w:r>
            <w:rPr>
              <w:rFonts w:hint="eastAsia" w:ascii="宋体" w:hAnsi="宋体" w:cs="宋体"/>
              <w:highlight w:val="none"/>
            </w:rPr>
            <w:fldChar w:fldCharType="separate"/>
          </w:r>
          <w:r>
            <w:rPr>
              <w:rFonts w:hint="eastAsia" w:ascii="宋体" w:hAnsi="宋体" w:cs="宋体"/>
              <w:highlight w:val="none"/>
            </w:rPr>
            <w:t xml:space="preserve">十、商务条款响应及偏离表</w:t>
          </w:r>
          <w:r>
            <w:rPr>
              <w:highlight w:val="none"/>
            </w:rPr>
            <w:tab/>
          </w:r>
          <w:r>
            <w:rPr>
              <w:highlight w:val="none"/>
            </w:rPr>
            <w:fldChar w:fldCharType="begin"/>
          </w:r>
          <w:r>
            <w:rPr>
              <w:highlight w:val="none"/>
            </w:rPr>
            <w:instrText xml:space="preserve"> PAGEREF _Toc2185 \h </w:instrText>
          </w:r>
          <w:r>
            <w:rPr>
              <w:highlight w:val="none"/>
            </w:rPr>
            <w:fldChar w:fldCharType="separate"/>
          </w:r>
          <w:r>
            <w:rPr>
              <w:highlight w:val="none"/>
            </w:rPr>
            <w:t xml:space="preserve">68</w:t>
          </w:r>
          <w:r>
            <w:rPr>
              <w:highlight w:val="none"/>
            </w:rPr>
            <w:fldChar w:fldCharType="end"/>
          </w:r>
          <w:r>
            <w:rPr>
              <w:rFonts w:hint="eastAsia" w:ascii="宋体" w:hAnsi="宋体" w:cs="宋体"/>
              <w:highlight w:val="none"/>
            </w:rPr>
            <w:fldChar w:fldCharType="end"/>
          </w:r>
          <w:r/>
        </w:p>
        <w:p>
          <w:pPr>
            <w:pStyle w:val="775"/>
            <w:tabs>
              <w:tab w:val="right" w:pos="907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_Toc32566 </w:instrText>
          </w:r>
          <w:r>
            <w:rPr>
              <w:rFonts w:hint="eastAsia" w:ascii="宋体" w:hAnsi="宋体" w:cs="宋体"/>
              <w:highlight w:val="none"/>
            </w:rPr>
            <w:fldChar w:fldCharType="separate"/>
          </w:r>
          <w:r>
            <w:rPr>
              <w:rFonts w:hint="eastAsia" w:ascii="宋体" w:hAnsi="宋体" w:cs="宋体"/>
              <w:highlight w:val="none"/>
            </w:rPr>
            <w:t xml:space="preserve">十一、其他材料（如有）</w:t>
          </w:r>
          <w:r>
            <w:rPr>
              <w:highlight w:val="none"/>
            </w:rPr>
            <w:tab/>
          </w:r>
          <w:r>
            <w:rPr>
              <w:highlight w:val="none"/>
            </w:rPr>
            <w:fldChar w:fldCharType="begin"/>
          </w:r>
          <w:r>
            <w:rPr>
              <w:highlight w:val="none"/>
            </w:rPr>
            <w:instrText xml:space="preserve"> PAGEREF _Toc32566 \h </w:instrText>
          </w:r>
          <w:r>
            <w:rPr>
              <w:highlight w:val="none"/>
            </w:rPr>
            <w:fldChar w:fldCharType="separate"/>
          </w:r>
          <w:r>
            <w:rPr>
              <w:highlight w:val="none"/>
            </w:rPr>
            <w:t xml:space="preserve">69</w:t>
          </w:r>
          <w:r>
            <w:rPr>
              <w:highlight w:val="none"/>
            </w:rPr>
            <w:fldChar w:fldCharType="end"/>
          </w:r>
          <w:r>
            <w:rPr>
              <w:rFonts w:hint="eastAsia" w:ascii="宋体" w:hAnsi="宋体" w:cs="宋体"/>
              <w:highlight w:val="none"/>
            </w:rPr>
            <w:fldChar w:fldCharType="end"/>
          </w:r>
          <w:r/>
        </w:p>
        <w:p>
          <w:pPr>
            <w:tabs>
              <w:tab w:val="left" w:pos="8608"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fldChar w:fldCharType="end"/>
          </w:r>
          <w:r/>
        </w:p>
      </w:sdtContent>
    </w:sdt>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pStyle w:val="747"/>
        <w:spacing w:before="120" w:after="120"/>
        <w:rPr>
          <w:rFonts w:hint="eastAsia" w:ascii="宋体" w:cs="宋体"/>
          <w:highlight w:val="none"/>
        </w:rPr>
        <w:pBdr>
          <w:top w:val="none" w:color="000000" w:sz="0" w:space="0"/>
          <w:left w:val="none" w:color="000000" w:sz="0" w:space="0"/>
          <w:bottom w:val="none" w:color="000000" w:sz="0" w:space="0"/>
          <w:right w:val="none" w:color="000000" w:sz="0" w:space="0"/>
        </w:pBdr>
      </w:pPr>
      <w:r/>
      <w:bookmarkStart w:id="0" w:name="_Toc5608"/>
      <w:r>
        <w:rPr>
          <w:rFonts w:hint="eastAsia" w:ascii="宋体" w:cs="宋体"/>
          <w:color w:val="000000"/>
          <w:highlight w:val="none"/>
        </w:rPr>
        <w:t xml:space="preserve">第一章 投标邀请</w:t>
      </w:r>
      <w:bookmarkEnd w:id="0"/>
      <w:r/>
      <w:r/>
    </w:p>
    <w:p>
      <w:pPr>
        <w:ind w:firstLine="480"/>
        <w:spacing w:line="440" w:lineRule="exact"/>
        <w:shd w:val="clear" w:color="ffffff" w:fill="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2025年度白蚁等害堤动物普查治理项目</w:t>
      </w:r>
      <w:r>
        <w:rPr>
          <w:rFonts w:hint="eastAsia" w:ascii="宋体" w:hAnsi="宋体" w:cs="宋体"/>
          <w:color w:val="000000"/>
          <w:sz w:val="24"/>
          <w:highlight w:val="none"/>
        </w:rPr>
        <w:t xml:space="preserve">的潜在投标人应在“苏采云”政府采购一体化平台（以下简称“苏采云”系统）获取招标文件，并于2025年12月</w:t>
      </w: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0（北京时间）前递交投标文件。</w:t>
      </w:r>
      <w:r/>
    </w:p>
    <w:p>
      <w:pPr>
        <w:pStyle w:val="748"/>
        <w:rPr>
          <w:rFonts w:hint="eastAsia" w:ascii="宋体" w:hAnsi="宋体" w:cs="宋体"/>
          <w:highlight w:val="none"/>
        </w:rPr>
      </w:pPr>
      <w:r/>
      <w:bookmarkStart w:id="1" w:name="_Toc15040"/>
      <w:r/>
      <w:bookmarkStart w:id="2" w:name="_Toc8402"/>
      <w:r>
        <w:rPr>
          <w:rFonts w:hint="eastAsia" w:ascii="宋体" w:hAnsi="宋体" w:cs="宋体"/>
          <w:highlight w:val="none"/>
        </w:rPr>
        <w:t xml:space="preserve">一、项目基本情况</w:t>
      </w:r>
      <w:bookmarkEnd w:id="1"/>
      <w:r/>
      <w:bookmarkEnd w:id="2"/>
      <w:r/>
      <w:r/>
    </w:p>
    <w:p>
      <w:pPr>
        <w:ind w:firstLine="555"/>
        <w:spacing w:line="440" w:lineRule="exact"/>
        <w:shd w:val="clear" w:color="ffffff" w:fill="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项目编号：JSZC-320582-NDZB-G2025-0019</w:t>
      </w:r>
      <w:r/>
    </w:p>
    <w:p>
      <w:pPr>
        <w:ind w:firstLine="555"/>
        <w:spacing w:line="440" w:lineRule="exact"/>
        <w:shd w:val="clear" w:color="ffffff" w:fill="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2025年度白蚁等害堤动物普查治理项目</w:t>
      </w:r>
      <w:r/>
    </w:p>
    <w:p>
      <w:pPr>
        <w:ind w:firstLine="555"/>
        <w:spacing w:line="440" w:lineRule="exact"/>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预算金额：1560000.00元</w:t>
      </w:r>
      <w:r/>
    </w:p>
    <w:p>
      <w:pPr>
        <w:ind w:firstLine="555"/>
        <w:spacing w:line="440" w:lineRule="exact"/>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最高限价：1560000.00元</w:t>
      </w:r>
      <w:r/>
    </w:p>
    <w:p>
      <w:pPr>
        <w:ind w:firstLine="555"/>
        <w:spacing w:line="440" w:lineRule="exact"/>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采购需求：</w:t>
      </w:r>
      <w:r>
        <w:rPr>
          <w:rFonts w:ascii="Times New Roman" w:hAnsi="Times New Roman"/>
          <w:color w:val="000000"/>
          <w:sz w:val="24"/>
          <w:szCs w:val="24"/>
          <w:highlight w:val="none"/>
        </w:rPr>
        <w:t xml:space="preserve">张家港市水务局就全市堤防开展白蚁等害堤动物普查及治理工作，拟采取公开招标的形式确定服务外包单位，根据采购人委托的内容和要求，对堤防进行白蚁等害堤动物普查及治理并对长江重点堤防进行安全健康评估</w:t>
      </w:r>
      <w:r>
        <w:rPr>
          <w:rFonts w:hint="eastAsia" w:ascii="宋体" w:hAnsi="宋体" w:cs="宋体"/>
          <w:color w:val="000000"/>
          <w:sz w:val="24"/>
          <w:highlight w:val="none"/>
        </w:rPr>
        <w:t xml:space="preserve">。</w:t>
      </w:r>
      <w:r/>
    </w:p>
    <w:p>
      <w:pPr>
        <w:ind w:firstLine="555"/>
        <w:spacing w:line="440" w:lineRule="exact"/>
        <w:shd w:val="clear" w:color="ffffff" w:fill="auto"/>
        <w:rPr>
          <w:rFonts w:ascii="Times New Roman" w:hAnsi="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4"/>
          <w:highlight w:val="none"/>
        </w:rPr>
        <w:t xml:space="preserve">服务期限</w:t>
      </w:r>
      <w:r>
        <w:rPr>
          <w:rFonts w:hint="eastAsia" w:ascii="Times New Roman" w:hAnsi="Times New Roman"/>
          <w:color w:val="000000"/>
          <w:sz w:val="24"/>
          <w:szCs w:val="24"/>
          <w:highlight w:val="none"/>
        </w:rPr>
        <w:t xml:space="preserve">：合同签订之日起</w:t>
      </w:r>
      <w:r>
        <w:rPr>
          <w:rFonts w:ascii="Times New Roman" w:hAnsi="Times New Roman"/>
          <w:color w:val="000000"/>
          <w:sz w:val="24"/>
          <w:szCs w:val="24"/>
          <w:highlight w:val="none"/>
        </w:rPr>
        <w:t xml:space="preserve">至2026年12月30日。期间开展两轮普查及治理，2026年5月底完成第一轮普查治理，出具普查治理报告；2026年11月底完成第二轮普查，同时对长江重点堤段进行安全健康评估并出具报告。</w:t>
      </w:r>
      <w:r/>
    </w:p>
    <w:p>
      <w:pPr>
        <w:ind w:firstLine="555"/>
        <w:spacing w:line="440" w:lineRule="exact"/>
        <w:shd w:val="clear" w:color="ffffff" w:fill="auto"/>
        <w:rPr>
          <w:rFonts w:hint="eastAsia" w:ascii="宋体" w:hAnsi="宋体" w:cs="宋体"/>
          <w:i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iCs/>
          <w:sz w:val="24"/>
          <w:highlight w:val="none"/>
        </w:rPr>
        <w:t xml:space="preserve">本项目（是/否）接受联合体投标：否</w:t>
      </w:r>
      <w:r/>
    </w:p>
    <w:p>
      <w:pPr>
        <w:pStyle w:val="748"/>
        <w:rPr>
          <w:rFonts w:hint="eastAsia" w:ascii="宋体" w:hAnsi="宋体" w:cs="宋体"/>
          <w:highlight w:val="none"/>
        </w:rPr>
      </w:pPr>
      <w:r/>
      <w:bookmarkStart w:id="3" w:name="_Toc4381"/>
      <w:r/>
      <w:bookmarkStart w:id="4" w:name="_Toc2048"/>
      <w:r>
        <w:rPr>
          <w:rFonts w:hint="eastAsia" w:ascii="宋体" w:hAnsi="宋体" w:cs="宋体"/>
          <w:highlight w:val="none"/>
        </w:rPr>
        <w:t xml:space="preserve">二、申请人的资格要求</w:t>
      </w:r>
      <w:bookmarkEnd w:id="3"/>
      <w:r/>
      <w:bookmarkEnd w:id="4"/>
      <w:r/>
      <w:r/>
    </w:p>
    <w:p>
      <w:pPr>
        <w:ind w:firstLine="512"/>
        <w:spacing w:line="440" w:lineRule="exact"/>
        <w:widowControl/>
        <w:rPr>
          <w:rFonts w:hint="eastAsia" w:ascii="宋体" w:hAnsi="宋体" w:cs="宋体"/>
          <w:sz w:val="24"/>
          <w:highlight w:val="none"/>
        </w:rPr>
      </w:pPr>
      <w:r>
        <w:rPr>
          <w:rFonts w:hint="eastAsia" w:ascii="宋体" w:hAnsi="宋体" w:cs="宋体"/>
          <w:sz w:val="24"/>
          <w:highlight w:val="none"/>
        </w:rPr>
        <w:t xml:space="preserve">1.满足《中华人民共和国政府采购法》第二十二条规定：</w:t>
      </w:r>
      <w:r/>
    </w:p>
    <w:p>
      <w:pPr>
        <w:ind w:firstLine="555"/>
        <w:spacing w:line="440" w:lineRule="exact"/>
        <w:shd w:val="clear" w:color="ffffff" w:fill="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1.1 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55"/>
        <w:spacing w:line="440" w:lineRule="exact"/>
        <w:shd w:val="clear" w:color="ffffff" w:fill="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1.2 财务状况报告（成立不满一年不需提供）；</w:t>
      </w:r>
      <w:r/>
    </w:p>
    <w:p>
      <w:pPr>
        <w:ind w:firstLine="555"/>
        <w:spacing w:line="440" w:lineRule="exact"/>
        <w:shd w:val="clear" w:color="ffffff" w:fill="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1.3 依法缴纳税收和社会保障资金的相关材料</w:t>
      </w:r>
      <w:bookmarkStart w:id="5" w:name="OLE_LINK2"/>
      <w:r/>
      <w:bookmarkStart w:id="6" w:name="OLE_LINK3"/>
      <w:r>
        <w:rPr>
          <w:rFonts w:hint="eastAsia" w:ascii="宋体" w:hAnsi="宋体" w:cs="宋体"/>
          <w:sz w:val="24"/>
          <w:szCs w:val="24"/>
          <w:highlight w:val="none"/>
        </w:rPr>
        <w:t xml:space="preserve">（如依法享受缓缴、免缴税收、社会保障资金的，应提供相关证明材料）；</w:t>
      </w:r>
      <w:bookmarkEnd w:id="5"/>
      <w:r/>
      <w:bookmarkEnd w:id="6"/>
      <w:r/>
      <w:r/>
    </w:p>
    <w:p>
      <w:pPr>
        <w:ind w:firstLine="555"/>
        <w:spacing w:line="440" w:lineRule="exact"/>
        <w:shd w:val="clear" w:color="ffffff" w:fill="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 具备履行合同所必需的设备和专业技术能力的书面声明；</w:t>
      </w:r>
      <w:r/>
    </w:p>
    <w:p>
      <w:pPr>
        <w:ind w:firstLine="555"/>
        <w:spacing w:line="440" w:lineRule="exact"/>
        <w:shd w:val="clear" w:color="ffffff" w:fill="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 参加政府采购活动前3年内在经营活动中没有重大违法记录的书面声明；</w:t>
      </w:r>
      <w:r/>
    </w:p>
    <w:p>
      <w:pPr>
        <w:ind w:firstLine="555"/>
        <w:spacing w:line="440" w:lineRule="exact"/>
        <w:shd w:val="clear" w:color="ffffff" w:fill="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 授权委托书（被授权人非法定代表人的，应提供授权委托书；被授权人是法定代表人的，应提供授权委托书或法定代表人身份证明书）；</w:t>
      </w:r>
      <w:r/>
    </w:p>
    <w:p>
      <w:pPr>
        <w:ind w:firstLine="555"/>
        <w:spacing w:line="440" w:lineRule="exact"/>
        <w:shd w:val="clear" w:color="ffffff" w:fill="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 关于资格证明文件的书面承诺。</w:t>
      </w:r>
      <w:r/>
    </w:p>
    <w:p>
      <w:pPr>
        <w:ind w:firstLine="555"/>
        <w:spacing w:line="440" w:lineRule="exact"/>
        <w:widowControl/>
        <w:rPr>
          <w:rFonts w:hint="eastAsia" w:ascii="宋体" w:hAnsi="宋体" w:cs="宋体"/>
          <w:sz w:val="24"/>
          <w:highlight w:val="none"/>
        </w:rPr>
      </w:pPr>
      <w:r>
        <w:rPr>
          <w:rFonts w:hint="eastAsia" w:ascii="宋体" w:hAnsi="宋体" w:cs="宋体"/>
          <w:sz w:val="24"/>
          <w:highlight w:val="none"/>
        </w:rPr>
        <w:t xml:space="preserve">2.落实政府采购政策需满足的资格要求：</w:t>
      </w:r>
      <w:r/>
    </w:p>
    <w:p>
      <w:pPr>
        <w:ind w:left="523"/>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 本项目专门面向中小企业采购</w:t>
      </w:r>
      <w:r/>
    </w:p>
    <w:p>
      <w:pPr>
        <w:ind w:left="25" w:right="139" w:firstLine="495"/>
        <w:spacing w:line="440" w:lineRule="exact"/>
        <w:rPr>
          <w:rFonts w:hint="eastAsia" w:ascii="宋体" w:hAnsi="宋体" w:cs="宋体"/>
          <w:highlight w:val="none"/>
        </w:rPr>
      </w:pPr>
      <w:r>
        <w:rPr>
          <w:rFonts w:hint="eastAsia" w:ascii="宋体" w:hAnsi="宋体" w:cs="宋体"/>
          <w:sz w:val="24"/>
          <w:szCs w:val="24"/>
          <w:highlight w:val="none"/>
        </w:rPr>
        <w:t xml:space="preserve">注：1）根据《关于促进残疾人就业政府采购政策的通知》(财库〔2017〕 141 号) 的通知规定，在政府采购活动中，残疾人福利性单位视同小型、微型 企业。</w:t>
      </w:r>
      <w:r/>
    </w:p>
    <w:p>
      <w:pPr>
        <w:ind w:firstLine="555"/>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2）根据《关于政府采购支持监狱企业发展有关问题的通知》(财库〔2014〕 68 号)的通知规定，在政府采购活动中，监狱企业视同小型、微型企业。</w:t>
      </w:r>
      <w:r/>
    </w:p>
    <w:p>
      <w:pPr>
        <w:ind w:firstLine="555"/>
        <w:spacing w:line="440" w:lineRule="exact"/>
        <w:widowControl/>
        <w:rPr>
          <w:rFonts w:hint="eastAsia" w:ascii="宋体" w:hAnsi="宋体" w:cs="宋体"/>
          <w:sz w:val="24"/>
          <w:highlight w:val="none"/>
        </w:rPr>
      </w:pPr>
      <w:r>
        <w:rPr>
          <w:rFonts w:hint="eastAsia" w:ascii="宋体" w:hAnsi="宋体" w:cs="宋体"/>
          <w:sz w:val="24"/>
          <w:highlight w:val="none"/>
        </w:rPr>
        <w:t xml:space="preserve">3.本项目的特定资格要求：</w:t>
      </w:r>
      <w:bookmarkStart w:id="7" w:name="EB2e222552591745cd9af6e9d18c1a40c7"/>
      <w:r/>
      <w:bookmarkEnd w:id="7"/>
      <w:r/>
      <w:r/>
    </w:p>
    <w:p>
      <w:pPr>
        <w:ind w:firstLine="480"/>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无</w:t>
      </w:r>
      <w:r/>
    </w:p>
    <w:p>
      <w:pPr>
        <w:pStyle w:val="748"/>
        <w:rPr>
          <w:rFonts w:hint="eastAsia" w:ascii="宋体" w:hAnsi="宋体" w:cs="宋体"/>
          <w:highlight w:val="none"/>
        </w:rPr>
      </w:pPr>
      <w:r/>
      <w:bookmarkStart w:id="8" w:name="_Toc30070"/>
      <w:r/>
      <w:bookmarkStart w:id="9" w:name="_Toc7320"/>
      <w:r>
        <w:rPr>
          <w:rFonts w:hint="eastAsia" w:ascii="宋体" w:hAnsi="宋体" w:cs="宋体"/>
          <w:highlight w:val="none"/>
        </w:rPr>
        <w:t xml:space="preserve">三、获取招标文件</w:t>
      </w:r>
      <w:bookmarkEnd w:id="8"/>
      <w:r/>
      <w:bookmarkEnd w:id="9"/>
      <w:r/>
      <w:r/>
    </w:p>
    <w:p>
      <w:pPr>
        <w:ind w:firstLine="540"/>
        <w:spacing w:line="440" w:lineRule="exact"/>
        <w:widowControl/>
        <w:rPr>
          <w:rFonts w:hint="eastAsia" w:ascii="宋体" w:hAnsi="宋体" w:cs="宋体"/>
          <w:sz w:val="24"/>
          <w:highlight w:val="none"/>
        </w:rPr>
      </w:pPr>
      <w:r>
        <w:rPr>
          <w:rFonts w:hint="eastAsia" w:ascii="宋体" w:hAnsi="宋体" w:cs="宋体"/>
          <w:sz w:val="24"/>
          <w:highlight w:val="none"/>
        </w:rPr>
        <w:t xml:space="preserve">1.时间：发布公告之日起5个工作日</w:t>
      </w:r>
      <w:r/>
    </w:p>
    <w:p>
      <w:pPr>
        <w:ind w:firstLine="540"/>
        <w:spacing w:line="440" w:lineRule="exact"/>
        <w:widowControl/>
        <w:rPr>
          <w:rFonts w:hint="eastAsia" w:ascii="宋体" w:hAnsi="宋体" w:cs="宋体"/>
          <w:sz w:val="24"/>
          <w:highlight w:val="none"/>
        </w:rPr>
      </w:pPr>
      <w:r>
        <w:rPr>
          <w:rFonts w:hint="eastAsia" w:ascii="宋体" w:hAnsi="宋体" w:cs="宋体"/>
          <w:sz w:val="24"/>
          <w:highlight w:val="none"/>
        </w:rPr>
        <w:t xml:space="preserve">2.地点：在“苏采云”系统自行免费下载招标文件。</w:t>
      </w:r>
      <w:r/>
    </w:p>
    <w:p>
      <w:pPr>
        <w:ind w:firstLine="540"/>
        <w:spacing w:line="440" w:lineRule="exact"/>
        <w:widowControl/>
        <w:rPr>
          <w:rFonts w:hint="eastAsia" w:ascii="宋体" w:hAnsi="宋体" w:cs="宋体"/>
          <w:sz w:val="24"/>
          <w:highlight w:val="none"/>
        </w:rPr>
      </w:pPr>
      <w:r>
        <w:rPr>
          <w:rFonts w:hint="eastAsia" w:ascii="宋体" w:hAnsi="宋体" w:cs="宋体"/>
          <w:sz w:val="24"/>
          <w:highlight w:val="none"/>
        </w:rPr>
        <w:t xml:space="preserve">3.方式：线上</w:t>
      </w:r>
      <w:r/>
    </w:p>
    <w:p>
      <w:pPr>
        <w:ind w:firstLine="512"/>
        <w:spacing w:line="440" w:lineRule="exact"/>
        <w:widowControl/>
        <w:rPr>
          <w:rFonts w:hint="eastAsia" w:ascii="宋体" w:hAnsi="宋体" w:cs="宋体"/>
          <w:sz w:val="24"/>
          <w:highlight w:val="none"/>
        </w:rPr>
      </w:pPr>
      <w:r>
        <w:rPr>
          <w:rFonts w:hint="eastAsia" w:ascii="宋体" w:hAnsi="宋体" w:cs="宋体"/>
          <w:sz w:val="24"/>
          <w:highlight w:val="none"/>
        </w:rPr>
        <w:t xml:space="preserve">4.售价：无</w:t>
      </w:r>
      <w:r/>
    </w:p>
    <w:p>
      <w:pPr>
        <w:pStyle w:val="748"/>
        <w:rPr>
          <w:rFonts w:hint="eastAsia" w:ascii="宋体" w:hAnsi="宋体" w:cs="宋体"/>
          <w:highlight w:val="none"/>
        </w:rPr>
      </w:pPr>
      <w:r/>
      <w:bookmarkStart w:id="10" w:name="_Toc242"/>
      <w:r/>
      <w:bookmarkStart w:id="11" w:name="_Toc6842"/>
      <w:r>
        <w:rPr>
          <w:rFonts w:hint="eastAsia" w:ascii="宋体" w:hAnsi="宋体" w:cs="宋体"/>
          <w:highlight w:val="none"/>
        </w:rPr>
        <w:t xml:space="preserve">四、提交投标文件截止时间、开标时间和地点</w:t>
      </w:r>
      <w:bookmarkEnd w:id="10"/>
      <w:r/>
      <w:bookmarkEnd w:id="11"/>
      <w:r/>
      <w:r/>
    </w:p>
    <w:p>
      <w:pPr>
        <w:ind w:firstLine="555"/>
        <w:spacing w:line="440" w:lineRule="exact"/>
        <w:widowControl/>
        <w:rPr>
          <w:rFonts w:hint="eastAsia" w:ascii="宋体" w:hAnsi="宋体" w:cs="宋体"/>
          <w:sz w:val="24"/>
          <w:highlight w:val="none"/>
        </w:rPr>
      </w:pPr>
      <w:r>
        <w:rPr>
          <w:rFonts w:hint="eastAsia" w:ascii="宋体" w:hAnsi="宋体" w:cs="宋体"/>
          <w:sz w:val="24"/>
          <w:highlight w:val="none"/>
        </w:rPr>
        <w:t xml:space="preserve">1.时间：</w:t>
      </w:r>
      <w:bookmarkStart w:id="12" w:name="EB47b1af47eddb4c2d87568ed0f320c968"/>
      <w:r>
        <w:rPr>
          <w:rFonts w:hint="eastAsia" w:ascii="宋体" w:hAnsi="宋体" w:cs="宋体"/>
          <w:sz w:val="24"/>
          <w:highlight w:val="none"/>
        </w:rPr>
        <w:t xml:space="preserve">2025年12月</w:t>
      </w:r>
      <w:r>
        <w:rPr>
          <w:rFonts w:hint="eastAsia" w:ascii="宋体" w:hAnsi="宋体" w:cs="宋体"/>
          <w:sz w:val="24"/>
          <w:highlight w:val="none"/>
          <w:lang w:val="en-US" w:eastAsia="zh-CN"/>
        </w:rPr>
        <w:t xml:space="preserve">29</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09</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w:t>
      </w:r>
      <w:bookmarkEnd w:id="12"/>
      <w:r>
        <w:rPr>
          <w:rFonts w:hint="eastAsia" w:ascii="宋体" w:hAnsi="宋体" w:cs="宋体"/>
          <w:sz w:val="24"/>
          <w:highlight w:val="none"/>
        </w:rPr>
        <w:t xml:space="preserve">（北京时间）</w:t>
      </w:r>
      <w:r/>
    </w:p>
    <w:p>
      <w:pPr>
        <w:ind w:firstLine="555"/>
        <w:spacing w:line="440" w:lineRule="exact"/>
        <w:widowControl/>
        <w:rPr>
          <w:rFonts w:hint="eastAsia" w:ascii="宋体" w:hAnsi="宋体" w:cs="宋体"/>
          <w:sz w:val="24"/>
          <w:highlight w:val="none"/>
        </w:rPr>
      </w:pPr>
      <w:r>
        <w:rPr>
          <w:rFonts w:hint="eastAsia" w:ascii="宋体" w:hAnsi="宋体" w:cs="宋体"/>
          <w:sz w:val="24"/>
          <w:highlight w:val="none"/>
        </w:rPr>
        <w:t xml:space="preserve">2.地点：苏采云系统网上开标大厅（网址：http://jszfcg.jsczt.cn/）</w:t>
      </w:r>
      <w:r/>
    </w:p>
    <w:p>
      <w:pPr>
        <w:ind w:firstLine="540"/>
        <w:spacing w:line="440" w:lineRule="exact"/>
        <w:widowControl/>
        <w:rPr>
          <w:rFonts w:hint="eastAsia" w:ascii="宋体" w:hAnsi="宋体" w:cs="宋体"/>
          <w:sz w:val="24"/>
          <w:highlight w:val="none"/>
        </w:rPr>
      </w:pPr>
      <w:r>
        <w:rPr>
          <w:rFonts w:hint="eastAsia" w:ascii="宋体" w:hAnsi="宋体" w:cs="宋体"/>
          <w:sz w:val="24"/>
          <w:highlight w:val="none"/>
        </w:rPr>
        <w:t xml:space="preserve">3.现场地址：张家港市杨舍镇滨河路1号（国泰金融广场C座8楼、9楼开标室）</w:t>
      </w:r>
      <w:r/>
    </w:p>
    <w:p>
      <w:pPr>
        <w:pStyle w:val="748"/>
        <w:rPr>
          <w:rFonts w:hint="eastAsia" w:ascii="宋体" w:hAnsi="宋体" w:cs="宋体"/>
          <w:highlight w:val="none"/>
        </w:rPr>
      </w:pPr>
      <w:r/>
      <w:bookmarkStart w:id="13" w:name="_Toc6600"/>
      <w:r/>
      <w:bookmarkStart w:id="14" w:name="_Toc27735"/>
      <w:r>
        <w:rPr>
          <w:rFonts w:hint="eastAsia" w:ascii="宋体" w:hAnsi="宋体" w:cs="宋体"/>
          <w:highlight w:val="none"/>
        </w:rPr>
        <w:t xml:space="preserve">五、公告期限</w:t>
      </w:r>
      <w:bookmarkEnd w:id="13"/>
      <w:r/>
      <w:bookmarkEnd w:id="14"/>
      <w:r/>
      <w:r/>
    </w:p>
    <w:p>
      <w:pPr>
        <w:ind w:firstLine="540"/>
        <w:spacing w:line="440" w:lineRule="exact"/>
        <w:widowControl/>
        <w:rPr>
          <w:rFonts w:hint="eastAsia" w:ascii="宋体" w:hAnsi="宋体" w:cs="宋体"/>
          <w:sz w:val="24"/>
          <w:highlight w:val="none"/>
        </w:rPr>
      </w:pPr>
      <w:r>
        <w:rPr>
          <w:rFonts w:hint="eastAsia" w:ascii="宋体" w:hAnsi="宋体" w:cs="宋体"/>
          <w:sz w:val="24"/>
          <w:highlight w:val="none"/>
        </w:rPr>
        <w:t xml:space="preserve">自本公告发布之日起5个工作日。</w:t>
      </w:r>
      <w:r/>
    </w:p>
    <w:p>
      <w:pPr>
        <w:pStyle w:val="748"/>
        <w:rPr>
          <w:rFonts w:hint="eastAsia" w:ascii="宋体" w:hAnsi="宋体" w:cs="宋体"/>
          <w:highlight w:val="none"/>
        </w:rPr>
      </w:pPr>
      <w:r/>
      <w:bookmarkStart w:id="15" w:name="_Toc26803"/>
      <w:r/>
      <w:bookmarkStart w:id="16" w:name="_Toc6728"/>
      <w:r>
        <w:rPr>
          <w:rFonts w:hint="eastAsia" w:ascii="宋体" w:hAnsi="宋体" w:cs="宋体"/>
          <w:highlight w:val="none"/>
        </w:rPr>
        <w:t xml:space="preserve">六、其他补充事宜</w:t>
      </w:r>
      <w:bookmarkEnd w:id="15"/>
      <w:r/>
      <w:bookmarkEnd w:id="16"/>
      <w:r/>
      <w:r/>
    </w:p>
    <w:p>
      <w:pPr>
        <w:ind w:firstLine="540"/>
        <w:spacing w:line="440" w:lineRule="exact"/>
        <w:rPr>
          <w:rFonts w:hint="eastAsia" w:ascii="宋体" w:hAnsi="宋体" w:cs="宋体"/>
          <w:sz w:val="24"/>
          <w:highlight w:val="none"/>
        </w:rPr>
      </w:pPr>
      <w:r>
        <w:rPr>
          <w:rFonts w:hint="eastAsia" w:ascii="宋体" w:hAnsi="宋体" w:cs="宋体"/>
          <w:sz w:val="24"/>
          <w:highlight w:val="none"/>
        </w:rPr>
        <w:t xml:space="preserve">1.本次采购的有关信息在以下网站上发布：江苏政府采购网、苏州市政府采购网。</w:t>
      </w:r>
      <w:r/>
    </w:p>
    <w:p>
      <w:pPr>
        <w:ind w:firstLine="540"/>
        <w:spacing w:line="440" w:lineRule="exact"/>
        <w:rPr>
          <w:rFonts w:hint="eastAsia" w:ascii="宋体" w:hAnsi="宋体" w:cs="宋体"/>
          <w:sz w:val="24"/>
          <w:highlight w:val="none"/>
        </w:rPr>
      </w:pPr>
      <w:r>
        <w:rPr>
          <w:rFonts w:hint="eastAsia" w:ascii="宋体" w:hAnsi="宋体" w:cs="宋体"/>
          <w:sz w:val="24"/>
          <w:highlight w:val="none"/>
        </w:rPr>
        <w:t xml:space="preserve">2.有关该采购项目的澄清、修正及中标等信息亦在以上网站发布，请随时关注。</w:t>
      </w:r>
      <w:r/>
    </w:p>
    <w:p>
      <w:pPr>
        <w:ind w:firstLine="540"/>
        <w:spacing w:line="440" w:lineRule="exact"/>
        <w:rPr>
          <w:rFonts w:hint="eastAsia" w:ascii="宋体" w:hAnsi="宋体" w:cs="宋体"/>
          <w:sz w:val="24"/>
          <w:highlight w:val="none"/>
        </w:rPr>
      </w:pPr>
      <w:r>
        <w:rPr>
          <w:rFonts w:hint="eastAsia" w:ascii="宋体" w:hAnsi="宋体" w:cs="宋体"/>
          <w:sz w:val="24"/>
          <w:szCs w:val="20"/>
          <w:highlight w:val="none"/>
        </w:rPr>
        <w:t xml:space="preserve">3.</w:t>
      </w:r>
      <w:r>
        <w:rPr>
          <w:rFonts w:hint="eastAsia" w:ascii="宋体" w:hAnsi="宋体" w:cs="宋体"/>
          <w:iCs/>
          <w:sz w:val="24"/>
          <w:highlight w:val="none"/>
        </w:rPr>
        <w:t xml:space="preserve">本项目获取招标文件截止日期之后仍可以下载招标文件，但截止日期之后下载的招标文件，视为非有效方式且不作为供应商权益受到损害的证明材料和依据。</w:t>
      </w:r>
      <w:r/>
    </w:p>
    <w:p>
      <w:pPr>
        <w:ind w:firstLine="540"/>
        <w:spacing w:line="440" w:lineRule="exact"/>
        <w:rPr>
          <w:rFonts w:hint="eastAsia" w:ascii="宋体" w:hAnsi="宋体" w:cs="宋体"/>
          <w:sz w:val="24"/>
          <w:highlight w:val="none"/>
        </w:rPr>
      </w:pPr>
      <w:r>
        <w:rPr>
          <w:rFonts w:hint="eastAsia" w:ascii="宋体" w:hAnsi="宋体" w:cs="宋体"/>
          <w:sz w:val="24"/>
          <w:highlight w:val="none"/>
        </w:rPr>
        <w:t xml:space="preserve">4.CA证书办理</w:t>
      </w:r>
      <w:r/>
    </w:p>
    <w:p>
      <w:pPr>
        <w:ind w:firstLine="540"/>
        <w:spacing w:line="440" w:lineRule="exact"/>
        <w:rPr>
          <w:rFonts w:hint="eastAsia" w:ascii="宋体" w:hAnsi="宋体" w:cs="宋体"/>
          <w:sz w:val="24"/>
          <w:highlight w:val="none"/>
        </w:rPr>
      </w:pPr>
      <w:r>
        <w:rPr>
          <w:rFonts w:hint="eastAsia" w:ascii="宋体" w:hAnsi="宋体" w:cs="宋体"/>
          <w:sz w:val="24"/>
          <w:highlight w:val="none"/>
        </w:rPr>
        <w:t xml:space="preserve">供应</w:t>
      </w:r>
      <w:r>
        <w:rPr>
          <w:rFonts w:hint="eastAsia" w:ascii="宋体" w:hAnsi="宋体" w:cs="宋体"/>
          <w:sz w:val="24"/>
          <w:highlight w:val="none"/>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b/>
          <w:bCs/>
          <w:sz w:val="24"/>
          <w:highlight w:val="none"/>
        </w:rPr>
        <w:t xml:space="preserve">（苏州办理地址自2025年12月1日起搬迁至苏州市高新区邓尉路105 号狮山科技馆一楼服务大厅，联系方式:0512 6573 7699)</w:t>
      </w:r>
      <w:r/>
    </w:p>
    <w:p>
      <w:pPr>
        <w:ind w:firstLine="540"/>
        <w:spacing w:line="440" w:lineRule="exact"/>
        <w:rPr>
          <w:rFonts w:hint="eastAsia" w:ascii="宋体" w:hAnsi="宋体" w:cs="宋体"/>
          <w:sz w:val="24"/>
          <w:highlight w:val="none"/>
        </w:rPr>
      </w:pPr>
      <w:r>
        <w:rPr>
          <w:rFonts w:hint="eastAsia" w:ascii="宋体" w:hAnsi="宋体" w:cs="宋体"/>
          <w:sz w:val="24"/>
          <w:highlight w:val="none"/>
        </w:rPr>
        <w:t xml:space="preserve">5.参与采购活动</w:t>
      </w:r>
      <w:r/>
    </w:p>
    <w:p>
      <w:pPr>
        <w:ind w:firstLine="540"/>
        <w:spacing w:line="440" w:lineRule="exact"/>
        <w:rPr>
          <w:rFonts w:hint="eastAsia" w:ascii="宋体" w:hAnsi="宋体" w:cs="宋体"/>
          <w:sz w:val="24"/>
          <w:highlight w:val="none"/>
        </w:rPr>
      </w:pPr>
      <w:r>
        <w:rPr>
          <w:rFonts w:hint="eastAsia" w:ascii="宋体" w:hAnsi="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40"/>
        <w:spacing w:line="440" w:lineRule="exact"/>
        <w:rPr>
          <w:rFonts w:hint="eastAsia" w:ascii="宋体" w:hAnsi="宋体" w:cs="宋体"/>
          <w:sz w:val="24"/>
          <w:highlight w:val="none"/>
        </w:rPr>
      </w:pPr>
      <w:r>
        <w:rPr>
          <w:rFonts w:hint="eastAsia" w:ascii="宋体" w:hAnsi="宋体" w:cs="宋体"/>
          <w:sz w:val="24"/>
          <w:highlight w:val="none"/>
        </w:rPr>
        <w:t xml:space="preserve">6.电子投标准备</w:t>
      </w:r>
      <w:r/>
    </w:p>
    <w:p>
      <w:pPr>
        <w:ind w:firstLine="540"/>
        <w:jc w:val="left"/>
        <w:spacing w:line="440" w:lineRule="exact"/>
        <w:rPr>
          <w:rFonts w:hint="eastAsia" w:ascii="宋体" w:hAnsi="宋体" w:cs="宋体"/>
          <w:sz w:val="24"/>
          <w:highlight w:val="none"/>
        </w:rPr>
      </w:pPr>
      <w:r>
        <w:rPr>
          <w:rFonts w:hint="eastAsia" w:ascii="宋体" w:hAnsi="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cs="宋体"/>
          <w:sz w:val="24"/>
          <w:szCs w:val="24"/>
          <w:highlight w:val="none"/>
        </w:rPr>
        <w:t xml:space="preserve">https://czju.suzhou.gov.cn/zfcg/html/content/20231220161910031.shtml）。</w:t>
      </w:r>
      <w:r/>
    </w:p>
    <w:p>
      <w:pPr>
        <w:ind w:firstLine="540"/>
        <w:spacing w:line="440" w:lineRule="exact"/>
        <w:rPr>
          <w:rFonts w:hint="eastAsia" w:ascii="宋体" w:hAnsi="宋体" w:cs="宋体"/>
          <w:sz w:val="24"/>
          <w:highlight w:val="none"/>
        </w:rPr>
      </w:pPr>
      <w:r>
        <w:rPr>
          <w:rFonts w:hint="eastAsia" w:ascii="宋体" w:hAnsi="宋体" w:cs="宋体"/>
          <w:sz w:val="24"/>
          <w:highlight w:val="none"/>
        </w:rPr>
        <w:t xml:space="preserve">在系统操作过程中如有疑问，请按以下方式联系：</w:t>
      </w:r>
      <w:r/>
    </w:p>
    <w:p>
      <w:pPr>
        <w:ind w:firstLine="540"/>
        <w:spacing w:line="440" w:lineRule="exact"/>
        <w:rPr>
          <w:rFonts w:hint="eastAsia" w:ascii="宋体" w:hAnsi="宋体" w:cs="宋体"/>
          <w:sz w:val="24"/>
          <w:highlight w:val="none"/>
        </w:rPr>
      </w:pPr>
      <w:r>
        <w:rPr>
          <w:rFonts w:hint="eastAsia" w:ascii="宋体" w:hAnsi="宋体" w:cs="宋体"/>
          <w:sz w:val="24"/>
          <w:highlight w:val="none"/>
        </w:rPr>
        <w:t xml:space="preserve">注册咨询：18261002950；</w:t>
      </w:r>
      <w:r/>
    </w:p>
    <w:p>
      <w:pPr>
        <w:ind w:firstLine="540"/>
        <w:spacing w:line="440" w:lineRule="exact"/>
        <w:rPr>
          <w:rFonts w:hint="eastAsia" w:ascii="宋体" w:hAnsi="宋体" w:cs="宋体"/>
          <w:sz w:val="24"/>
          <w:highlight w:val="none"/>
        </w:rPr>
      </w:pPr>
      <w:r>
        <w:rPr>
          <w:rFonts w:hint="eastAsia" w:ascii="宋体" w:hAnsi="宋体" w:cs="宋体"/>
          <w:sz w:val="24"/>
          <w:highlight w:val="none"/>
        </w:rPr>
        <w:t xml:space="preserve">CA技术咨询电话：400-608-6099；</w:t>
      </w:r>
      <w:r/>
    </w:p>
    <w:p>
      <w:pPr>
        <w:ind w:firstLine="540"/>
        <w:spacing w:line="440" w:lineRule="exact"/>
        <w:rPr>
          <w:rFonts w:hint="eastAsia" w:ascii="宋体" w:hAnsi="宋体" w:cs="宋体"/>
          <w:sz w:val="24"/>
          <w:highlight w:val="none"/>
        </w:rPr>
      </w:pPr>
      <w:r>
        <w:rPr>
          <w:rFonts w:hint="eastAsia" w:ascii="宋体" w:hAnsi="宋体" w:cs="宋体"/>
          <w:sz w:val="24"/>
          <w:highlight w:val="none"/>
        </w:rPr>
        <w:t xml:space="preserve">签章使用问题：025-83633811、025-83633812、15380932027、15371015030；</w:t>
      </w:r>
      <w:r/>
    </w:p>
    <w:p>
      <w:pPr>
        <w:ind w:firstLine="540"/>
        <w:spacing w:line="440" w:lineRule="exact"/>
        <w:rPr>
          <w:rFonts w:hint="eastAsia" w:ascii="宋体" w:hAnsi="宋体" w:cs="宋体"/>
          <w:sz w:val="24"/>
          <w:highlight w:val="none"/>
        </w:rPr>
      </w:pPr>
      <w:r>
        <w:rPr>
          <w:rFonts w:hint="eastAsia" w:ascii="宋体" w:hAnsi="宋体" w:cs="宋体"/>
          <w:sz w:val="24"/>
          <w:highlight w:val="none"/>
        </w:rPr>
        <w:t xml:space="preserve">系统使用指导与咨询：联系电话：18261002950、0512-69820854；QQ：3048755361、1315179389、895706745。</w:t>
      </w:r>
      <w:r/>
    </w:p>
    <w:p>
      <w:pPr>
        <w:ind w:firstLine="555"/>
        <w:spacing w:line="440" w:lineRule="exact"/>
        <w:rPr>
          <w:rFonts w:hint="eastAsia" w:ascii="宋体" w:hAnsi="宋体" w:cs="宋体"/>
          <w:sz w:val="24"/>
          <w:highlight w:val="none"/>
        </w:rPr>
      </w:pPr>
      <w:r>
        <w:rPr>
          <w:rFonts w:hint="eastAsia" w:ascii="宋体" w:hAnsi="宋体" w:cs="宋体"/>
          <w:sz w:val="24"/>
          <w:highlight w:val="none"/>
        </w:rPr>
        <w:t xml:space="preserve">7.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440" w:lineRule="exact"/>
        <w:rPr>
          <w:rFonts w:hint="eastAsia" w:ascii="宋体" w:hAnsi="宋体" w:cs="宋体"/>
          <w:sz w:val="24"/>
          <w:highlight w:val="none"/>
        </w:rPr>
      </w:pPr>
      <w:r>
        <w:rPr>
          <w:rFonts w:hint="eastAsia" w:ascii="宋体" w:hAnsi="宋体" w:cs="宋体"/>
          <w:sz w:val="24"/>
          <w:highlight w:val="none"/>
        </w:rPr>
        <w:t xml:space="preserve">8.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12"/>
        <w:spacing w:line="440" w:lineRule="exact"/>
        <w:rPr>
          <w:rFonts w:hint="eastAsia" w:ascii="宋体" w:hAnsi="宋体" w:cs="宋体"/>
          <w:i/>
          <w:sz w:val="24"/>
          <w:highlight w:val="none"/>
        </w:rPr>
      </w:pPr>
      <w:r>
        <w:rPr>
          <w:rFonts w:hint="eastAsia" w:ascii="宋体" w:hAnsi="宋体" w:cs="宋体"/>
          <w:sz w:val="24"/>
          <w:highlight w:val="none"/>
        </w:rPr>
        <w:t xml:space="preserve">请供应商确保电脑、系统及其他设备（视频输入输出设备等）无误，且开标直至项目结束始终保持系统在线状态。</w:t>
      </w:r>
      <w:r/>
    </w:p>
    <w:p>
      <w:pPr>
        <w:ind w:firstLine="512"/>
        <w:spacing w:line="440" w:lineRule="exact"/>
        <w:rPr>
          <w:rFonts w:hint="eastAsia" w:ascii="宋体" w:hAnsi="宋体" w:cs="宋体"/>
          <w:i/>
          <w:sz w:val="24"/>
          <w:highlight w:val="none"/>
        </w:rPr>
      </w:pPr>
      <w:r>
        <w:rPr>
          <w:rFonts w:hint="eastAsia" w:ascii="宋体" w:hAnsi="宋体" w:cs="宋体"/>
          <w:i/>
          <w:sz w:val="24"/>
          <w:highlight w:val="none"/>
        </w:rPr>
        <w:t xml:space="preserve">9.拒绝下述供应商参加本次采购活动：</w:t>
      </w:r>
      <w:r/>
    </w:p>
    <w:p>
      <w:pPr>
        <w:ind w:firstLine="512"/>
        <w:spacing w:line="440" w:lineRule="exact"/>
        <w:rPr>
          <w:rFonts w:hint="eastAsia" w:ascii="宋体" w:hAnsi="宋体" w:cs="宋体"/>
          <w:i/>
          <w:sz w:val="24"/>
          <w:highlight w:val="none"/>
          <w:u w:val="single"/>
        </w:rPr>
      </w:pPr>
      <w:r>
        <w:rPr>
          <w:rFonts w:hint="eastAsia" w:ascii="宋体" w:hAnsi="宋体" w:cs="宋体"/>
          <w:i/>
          <w:sz w:val="24"/>
          <w:highlight w:val="none"/>
          <w:u w:val="single"/>
        </w:rPr>
        <w:t xml:space="preserve">9.1单位负责人为同一人或者存在直接控股、管理关系的不同供应商，不得参加同一合同下的政府采购活动；</w:t>
      </w:r>
      <w:r/>
    </w:p>
    <w:p>
      <w:pPr>
        <w:ind w:firstLine="512"/>
        <w:spacing w:line="440" w:lineRule="exact"/>
        <w:rPr>
          <w:rFonts w:hint="eastAsia" w:ascii="宋体" w:hAnsi="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i/>
          <w:sz w:val="24"/>
          <w:highlight w:val="none"/>
          <w:u w:val="single"/>
        </w:rPr>
        <w:t xml:space="preserve">9.2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失信主体名单、政府采购严重违法失信行为记录名单的供应商，拒绝其参与政府采购活动。</w:t>
      </w:r>
      <w:r/>
    </w:p>
    <w:p>
      <w:pPr>
        <w:ind w:firstLine="512"/>
        <w:jc w:val="left"/>
        <w:spacing w:line="440" w:lineRule="exact"/>
        <w:rPr>
          <w:rFonts w:hint="eastAsia" w:ascii="宋体" w:hAnsi="宋体" w:cs="宋体"/>
          <w:iCs/>
          <w:sz w:val="24"/>
          <w:highlight w:val="none"/>
        </w:rPr>
      </w:pPr>
      <w:r/>
      <w:bookmarkStart w:id="17" w:name="EB9e721723677040b59d517adeba775e14"/>
      <w:r/>
      <w:bookmarkEnd w:id="17"/>
      <w:r>
        <w:rPr>
          <w:rFonts w:hint="eastAsia" w:ascii="宋体" w:hAnsi="宋体" w:cs="宋体"/>
          <w:iCs/>
          <w:sz w:val="24"/>
          <w:highlight w:val="none"/>
        </w:rPr>
        <w:t xml:space="preserve">10.本项目</w:t>
      </w:r>
      <w:bookmarkStart w:id="18" w:name="EBf23c5c8d1a2a4bd8a1b4170606046283"/>
      <w:r>
        <w:rPr>
          <w:rFonts w:hint="eastAsia" w:ascii="宋体" w:hAnsi="宋体" w:cs="宋体"/>
          <w:iCs/>
          <w:sz w:val="24"/>
          <w:highlight w:val="none"/>
        </w:rPr>
        <w:t xml:space="preserve">不允许</w:t>
      </w:r>
      <w:bookmarkEnd w:id="18"/>
      <w:r>
        <w:rPr>
          <w:rFonts w:hint="eastAsia" w:ascii="宋体" w:hAnsi="宋体" w:cs="宋体"/>
          <w:iCs/>
          <w:sz w:val="24"/>
          <w:highlight w:val="none"/>
        </w:rPr>
        <w:t xml:space="preserve">进口产品投标。</w:t>
      </w:r>
      <w:r/>
    </w:p>
    <w:p>
      <w:pPr>
        <w:ind w:firstLine="512"/>
        <w:jc w:val="left"/>
        <w:spacing w:line="440" w:lineRule="exact"/>
        <w:rPr>
          <w:rFonts w:hint="eastAsia" w:ascii="宋体" w:hAnsi="宋体" w:cs="宋体"/>
          <w:iCs/>
          <w:sz w:val="24"/>
          <w:highlight w:val="none"/>
        </w:rPr>
      </w:pPr>
      <w:r>
        <w:rPr>
          <w:rFonts w:hint="eastAsia" w:ascii="宋体" w:hAnsi="宋体" w:cs="宋体"/>
          <w:iCs/>
          <w:sz w:val="24"/>
          <w:highlight w:val="none"/>
        </w:rPr>
        <w:t xml:space="preserve">11.本次招标不收取投标保证金。</w:t>
      </w:r>
      <w:r/>
    </w:p>
    <w:p>
      <w:pPr>
        <w:pStyle w:val="748"/>
        <w:rPr>
          <w:rFonts w:hint="eastAsia" w:ascii="宋体" w:hAnsi="宋体" w:cs="宋体"/>
          <w:highlight w:val="none"/>
        </w:rPr>
      </w:pPr>
      <w:r/>
      <w:bookmarkStart w:id="19" w:name="_Toc13063"/>
      <w:r/>
      <w:bookmarkStart w:id="20" w:name="_Toc11872"/>
      <w:r>
        <w:rPr>
          <w:rFonts w:hint="eastAsia" w:ascii="宋体" w:hAnsi="宋体" w:cs="宋体"/>
          <w:highlight w:val="none"/>
        </w:rPr>
        <w:t xml:space="preserve">七、对本次招标提出询问，请按以下方式联系</w:t>
      </w:r>
      <w:bookmarkEnd w:id="19"/>
      <w:r/>
      <w:bookmarkEnd w:id="20"/>
      <w:r/>
      <w:r/>
    </w:p>
    <w:p>
      <w:pPr>
        <w:ind w:firstLine="420"/>
        <w:spacing w:line="440" w:lineRule="exact"/>
        <w:shd w:val="clear" w:color="ffffff" w:fill="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1.招标人信息</w:t>
      </w:r>
      <w:r/>
    </w:p>
    <w:p>
      <w:pPr>
        <w:ind w:left="420" w:firstLine="420"/>
        <w:spacing w:line="440" w:lineRule="exact"/>
        <w:shd w:val="clear" w:color="ffffff" w:fill="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名 称：张家港市水务局</w:t>
      </w:r>
      <w:r/>
    </w:p>
    <w:p>
      <w:pPr>
        <w:ind w:left="420" w:firstLine="420"/>
        <w:spacing w:line="440" w:lineRule="exact"/>
        <w:shd w:val="clear" w:color="ffffff" w:fill="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 址：</w:t>
      </w:r>
      <w:r>
        <w:rPr>
          <w:rFonts w:hint="eastAsia" w:asciiTheme="minorEastAsia" w:hAnsiTheme="minorEastAsia" w:eastAsiaTheme="minorEastAsia"/>
          <w:color w:val="000000"/>
          <w:sz w:val="24"/>
          <w:szCs w:val="24"/>
          <w:highlight w:val="none"/>
        </w:rPr>
        <w:t xml:space="preserve">张家港市人民中路70号国脉大厦</w:t>
      </w:r>
      <w:r/>
    </w:p>
    <w:p>
      <w:pPr>
        <w:ind w:left="420" w:firstLine="420"/>
        <w:spacing w:line="440" w:lineRule="exact"/>
        <w:shd w:val="clear" w:color="ffffff" w:fill="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w:t>
      </w:r>
      <w:r>
        <w:rPr>
          <w:rFonts w:ascii="Times New Roman" w:hAnsi="Times New Roman"/>
          <w:spacing w:val="8"/>
          <w:sz w:val="24"/>
          <w:highlight w:val="none"/>
        </w:rPr>
        <w:t xml:space="preserve">陆凯</w:t>
      </w:r>
      <w:r/>
    </w:p>
    <w:p>
      <w:pPr>
        <w:ind w:left="420" w:firstLine="420"/>
        <w:spacing w:line="440" w:lineRule="exact"/>
        <w:shd w:val="clear" w:color="ffffff" w:fill="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联系方式：</w:t>
      </w:r>
      <w:r>
        <w:rPr>
          <w:rFonts w:hint="eastAsia" w:asciiTheme="minorEastAsia" w:hAnsiTheme="minorEastAsia" w:eastAsiaTheme="minorEastAsia"/>
          <w:color w:val="000000"/>
          <w:sz w:val="24"/>
          <w:szCs w:val="24"/>
          <w:highlight w:val="none"/>
        </w:rPr>
        <w:t xml:space="preserve">0512-58952716</w:t>
      </w:r>
      <w:r/>
    </w:p>
    <w:p>
      <w:pPr>
        <w:ind w:firstLine="420"/>
        <w:spacing w:line="440" w:lineRule="exact"/>
        <w:shd w:val="clear" w:color="ffffff" w:fill="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2.采购代理机构信息</w:t>
      </w:r>
      <w:r/>
    </w:p>
    <w:p>
      <w:pPr>
        <w:ind w:firstLine="840"/>
        <w:spacing w:line="440" w:lineRule="exact"/>
        <w:shd w:val="clear" w:color="ffffff" w:fill="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名 称：诺德招投标咨询服务（苏州）有限公司</w:t>
      </w:r>
      <w:r/>
    </w:p>
    <w:p>
      <w:pPr>
        <w:ind w:firstLine="840"/>
        <w:spacing w:line="440" w:lineRule="exact"/>
        <w:shd w:val="clear" w:color="ffffff" w:fill="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 址：张家港市杨舍镇恒河路20号培训楼三楼</w:t>
      </w:r>
      <w:r/>
    </w:p>
    <w:p>
      <w:pPr>
        <w:ind w:firstLine="840"/>
        <w:spacing w:line="440" w:lineRule="exact"/>
        <w:shd w:val="clear" w:color="ffffff" w:fill="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联系方式：13915696678</w:t>
      </w:r>
      <w:r/>
    </w:p>
    <w:p>
      <w:pPr>
        <w:ind w:firstLine="420"/>
        <w:spacing w:line="440" w:lineRule="exact"/>
        <w:shd w:val="clear" w:color="ffffff" w:fill="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3.项目联系方式</w:t>
      </w:r>
      <w:r/>
    </w:p>
    <w:p>
      <w:pPr>
        <w:ind w:left="420" w:firstLine="420"/>
        <w:spacing w:line="440" w:lineRule="exact"/>
        <w:shd w:val="clear" w:color="ffffff" w:fill="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项目联系人：吴张轶、秦宇辉</w:t>
      </w:r>
      <w:r/>
    </w:p>
    <w:p>
      <w:pPr>
        <w:ind w:left="420" w:firstLine="420"/>
        <w:spacing w:line="440" w:lineRule="exact"/>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 话：13915696678</w:t>
      </w:r>
      <w:r/>
    </w:p>
    <w:p>
      <w:pPr>
        <w:ind w:left="420" w:firstLine="420"/>
        <w:spacing w:line="440" w:lineRule="exact"/>
        <w:shd w:val="clear" w:color="ffffff" w:fill="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pStyle w:val="747"/>
        <w:spacing w:before="120" w:after="120"/>
        <w:rPr>
          <w:rFonts w:hint="eastAsia" w:ascii="宋体" w:cs="宋体"/>
          <w:highlight w:val="none"/>
        </w:rPr>
        <w:pBdr>
          <w:top w:val="none" w:color="000000" w:sz="0" w:space="0"/>
          <w:left w:val="none" w:color="000000" w:sz="0" w:space="0"/>
          <w:bottom w:val="none" w:color="000000" w:sz="0" w:space="0"/>
          <w:right w:val="none" w:color="000000" w:sz="0" w:space="0"/>
        </w:pBdr>
      </w:pPr>
      <w:r/>
      <w:bookmarkStart w:id="21" w:name="_Toc16893"/>
      <w:r>
        <w:rPr>
          <w:rFonts w:hint="eastAsia" w:ascii="宋体" w:cs="宋体"/>
          <w:color w:val="000000"/>
          <w:highlight w:val="none"/>
        </w:rPr>
        <w:t xml:space="preserve">第二章 投标人须知</w:t>
      </w:r>
      <w:bookmarkEnd w:id="21"/>
      <w:r/>
      <w:r/>
    </w:p>
    <w:p>
      <w:pPr>
        <w:pStyle w:val="748"/>
        <w:rPr>
          <w:rFonts w:hint="eastAsia" w:ascii="宋体" w:hAnsi="宋体" w:cs="宋体"/>
          <w:highlight w:val="none"/>
        </w:rPr>
      </w:pPr>
      <w:r/>
      <w:bookmarkStart w:id="22" w:name="_Toc120614214"/>
      <w:r/>
      <w:bookmarkStart w:id="23" w:name="_Toc9574"/>
      <w:r/>
      <w:bookmarkStart w:id="24" w:name="_Toc20823275"/>
      <w:r/>
      <w:bookmarkStart w:id="25" w:name="_Toc9592"/>
      <w:r/>
      <w:bookmarkStart w:id="26" w:name="_Toc35244868"/>
      <w:r/>
      <w:bookmarkStart w:id="27" w:name="_Toc16938519"/>
      <w:r/>
      <w:bookmarkStart w:id="28" w:name="_Toc54119646"/>
      <w:r/>
      <w:bookmarkStart w:id="29" w:name="_Toc513029203"/>
      <w:r/>
      <w:bookmarkStart w:id="30" w:name="_Toc160715765"/>
      <w:r/>
      <w:bookmarkStart w:id="31" w:name="_Toc256000002"/>
      <w:r>
        <w:rPr>
          <w:rFonts w:hint="eastAsia" w:ascii="宋体" w:hAnsi="宋体" w:cs="宋体"/>
          <w:highlight w:val="none"/>
        </w:rPr>
        <w:t xml:space="preserve">一、总则</w:t>
      </w:r>
      <w:bookmarkEnd w:id="22"/>
      <w:r/>
      <w:bookmarkEnd w:id="23"/>
      <w:r/>
      <w:bookmarkEnd w:id="24"/>
      <w:r/>
      <w:bookmarkEnd w:id="25"/>
      <w:r/>
      <w:bookmarkEnd w:id="26"/>
      <w:r/>
      <w:bookmarkEnd w:id="27"/>
      <w:r/>
      <w:bookmarkEnd w:id="28"/>
      <w:r/>
      <w:bookmarkEnd w:id="29"/>
      <w:r/>
      <w:bookmarkEnd w:id="30"/>
      <w:r/>
      <w:bookmarkEnd w:id="31"/>
      <w:r/>
      <w:r/>
    </w:p>
    <w:p>
      <w:pPr>
        <w:ind w:firstLine="480"/>
        <w:jc w:val="left"/>
        <w:keepLines/>
        <w:keepNext/>
        <w:spacing w:line="440" w:lineRule="exact"/>
        <w:rPr>
          <w:rFonts w:hint="eastAsia" w:ascii="宋体" w:hAnsi="宋体" w:cs="宋体"/>
          <w:sz w:val="24"/>
          <w:szCs w:val="24"/>
          <w:highlight w:val="none"/>
        </w:rPr>
        <w:outlineLvl w:val="2"/>
      </w:pPr>
      <w:r/>
      <w:bookmarkStart w:id="32" w:name="_Hlt16619475"/>
      <w:r/>
      <w:bookmarkEnd w:id="32"/>
      <w:r>
        <w:rPr>
          <w:rFonts w:hint="eastAsia" w:ascii="宋体" w:hAnsi="宋体" w:cs="宋体"/>
          <w:sz w:val="24"/>
          <w:szCs w:val="24"/>
          <w:highlight w:val="none"/>
        </w:rPr>
        <w:t xml:space="preserve">1、招标方式</w:t>
      </w:r>
      <w:r/>
    </w:p>
    <w:p>
      <w:pPr>
        <w:ind w:firstLine="508"/>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1.1本次招标采取公开招标方式，本招标文件仅适用于招标公告中所述项目。</w:t>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2、合格的投标人</w:t>
      </w:r>
      <w:r/>
    </w:p>
    <w:p>
      <w:pPr>
        <w:ind w:firstLine="508"/>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2.1满足招标公告中投标人的资格要求的规定。</w:t>
      </w:r>
      <w:r/>
    </w:p>
    <w:p>
      <w:pPr>
        <w:ind w:firstLine="508"/>
        <w:jc w:val="left"/>
        <w:spacing w:line="440" w:lineRule="exact"/>
        <w:rPr>
          <w:rFonts w:hint="eastAsia" w:ascii="宋体" w:hAnsi="宋体" w:cs="宋体"/>
          <w:b/>
          <w:sz w:val="24"/>
          <w:szCs w:val="24"/>
          <w:highlight w:val="none"/>
        </w:rPr>
      </w:pPr>
      <w:r>
        <w:rPr>
          <w:rFonts w:hint="eastAsia" w:ascii="宋体" w:hAnsi="宋体" w:cs="宋体"/>
          <w:sz w:val="24"/>
          <w:szCs w:val="24"/>
          <w:highlight w:val="none"/>
        </w:rPr>
        <w:t xml:space="preserve">2.2满足本文件实质性要求的规定</w:t>
      </w:r>
      <w:r>
        <w:rPr>
          <w:rFonts w:hint="eastAsia" w:ascii="宋体" w:hAnsi="宋体" w:cs="宋体"/>
          <w:b/>
          <w:sz w:val="24"/>
          <w:szCs w:val="24"/>
          <w:highlight w:val="none"/>
        </w:rPr>
        <w:t xml:space="preserve">（本招标文件中斜体且有下划线部分为实质性要求）。</w:t>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3、适用法律</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3.1本次招标及由此产生的合同受中华人民共和国有关的法律法规制约和保护。</w:t>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4、投标费用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4.1投标人应自行承担所有与参加投标有关的费用，无论投标过程中的做法和结果如何，诺德招投标咨询服务（苏州）有限公司在任何情况下均无义务和责任承担这些费用。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4.2本次招标采购代理机构收取代理服务费。</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4.2.1本项目采购代理服务费由 中标（成交）供应商 支付；</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4.2.2 代理费用收取方式：转账</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4.2.3收费标准：预算金额100万以下费率为预算金额的1.5%；预算金额100万元（含）~500万元部分按照预算金额的1.1%计；预算金额500万元（含）~1000万元部分按照预算金额的0.8%计；预算金额1000万元（含）~5000万元部分按照预算金额的0.5%计。</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说明：代理服务费以采购预算金额为基数依据，按以上规定的标准和差额定率累进法进行计算收取。</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4.2.4 收费金额：预算金额的</w:t>
      </w:r>
      <w:bookmarkStart w:id="33" w:name="EB4bef91ec166246f78c716ddc8194a87a"/>
      <w:r/>
      <w:bookmarkEnd w:id="33"/>
      <w:r>
        <w:rPr>
          <w:rFonts w:hint="eastAsia" w:ascii="宋体" w:hAnsi="宋体" w:cs="宋体"/>
          <w:sz w:val="24"/>
          <w:szCs w:val="24"/>
          <w:highlight w:val="none"/>
        </w:rPr>
        <w:t xml:space="preserve">0.95%，也即14812元。</w:t>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5、招标文件的约束力</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5.1投标人一旦在“苏采云”系统下载本招标文件决定参加投标，即被认为接受了本招标文件的规定和约束，并且视为已经知道或应当知道自身权益是否受到了损害。</w:t>
      </w:r>
      <w:r/>
    </w:p>
    <w:p>
      <w:pPr>
        <w:pStyle w:val="748"/>
        <w:rPr>
          <w:rFonts w:hint="eastAsia" w:ascii="宋体" w:hAnsi="宋体" w:cs="宋体"/>
          <w:highlight w:val="none"/>
        </w:rPr>
      </w:pPr>
      <w:r/>
      <w:bookmarkStart w:id="34" w:name="_Toc54615240"/>
      <w:r/>
      <w:bookmarkStart w:id="35" w:name="_Toc16938525"/>
      <w:r/>
      <w:bookmarkStart w:id="36" w:name="_Toc22183"/>
      <w:r/>
      <w:bookmarkStart w:id="37" w:name="_Toc31706"/>
      <w:r/>
      <w:bookmarkStart w:id="38" w:name="_Toc160524313"/>
      <w:r/>
      <w:bookmarkStart w:id="39" w:name="_Toc35266021"/>
      <w:r/>
      <w:bookmarkStart w:id="40" w:name="_Toc20823281"/>
      <w:r/>
      <w:bookmarkStart w:id="41" w:name="_Toc513029209"/>
      <w:r/>
      <w:bookmarkStart w:id="42" w:name="_Toc38368121"/>
      <w:r/>
      <w:bookmarkStart w:id="43" w:name="_Toc120614215"/>
      <w:r>
        <w:rPr>
          <w:rFonts w:hint="eastAsia" w:ascii="宋体" w:hAnsi="宋体" w:cs="宋体"/>
          <w:highlight w:val="none"/>
        </w:rPr>
        <w:t xml:space="preserve">二、招标文件</w:t>
      </w:r>
      <w:bookmarkEnd w:id="34"/>
      <w:r/>
      <w:bookmarkEnd w:id="35"/>
      <w:r/>
      <w:bookmarkEnd w:id="36"/>
      <w:r/>
      <w:bookmarkEnd w:id="37"/>
      <w:r/>
      <w:bookmarkEnd w:id="38"/>
      <w:r/>
      <w:bookmarkEnd w:id="39"/>
      <w:r/>
      <w:bookmarkEnd w:id="40"/>
      <w:r/>
      <w:bookmarkEnd w:id="41"/>
      <w:r/>
      <w:bookmarkEnd w:id="42"/>
      <w:r/>
      <w:bookmarkEnd w:id="43"/>
      <w:r/>
      <w:r/>
    </w:p>
    <w:p>
      <w:pPr>
        <w:ind w:firstLine="480"/>
        <w:jc w:val="left"/>
        <w:keepLines/>
        <w:keepNext/>
        <w:spacing w:line="440" w:lineRule="exact"/>
        <w:rPr>
          <w:rFonts w:hint="eastAsia" w:ascii="宋体" w:hAnsi="宋体" w:cs="宋体"/>
          <w:sz w:val="24"/>
          <w:szCs w:val="24"/>
          <w:highlight w:val="none"/>
        </w:rPr>
        <w:outlineLvl w:val="2"/>
      </w:pPr>
      <w:r/>
      <w:bookmarkStart w:id="44" w:name="_Toc20823282"/>
      <w:r/>
      <w:bookmarkStart w:id="45" w:name="_Toc16938526"/>
      <w:r/>
      <w:bookmarkStart w:id="46" w:name="_Toc513029210"/>
      <w:r>
        <w:rPr>
          <w:rFonts w:hint="eastAsia" w:ascii="宋体" w:hAnsi="宋体" w:cs="宋体"/>
          <w:sz w:val="24"/>
          <w:szCs w:val="24"/>
          <w:highlight w:val="none"/>
        </w:rPr>
        <w:t xml:space="preserve">6、招标文件构成</w:t>
      </w:r>
      <w:bookmarkEnd w:id="44"/>
      <w:r/>
      <w:bookmarkEnd w:id="45"/>
      <w:r/>
      <w:bookmarkEnd w:id="46"/>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6.1 招标文件有以下部分组成：</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（1）投标邀请</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（2）投标人须知</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（3）合同条款及格式</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（4）项目需求</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（5）评标方法与评标标准</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（6）投标文件格式</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请仔细检查招标文件是否齐全，如有缺漏请立即与诺德招投标咨询服务（苏州）有限公司联系解决。</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keepNext/>
        <w:spacing w:line="440" w:lineRule="exact"/>
        <w:rPr>
          <w:rFonts w:hint="eastAsia" w:ascii="宋体" w:hAnsi="宋体" w:cs="宋体"/>
          <w:sz w:val="24"/>
          <w:szCs w:val="24"/>
          <w:highlight w:val="none"/>
        </w:rPr>
        <w:outlineLvl w:val="2"/>
      </w:pPr>
      <w:r/>
      <w:bookmarkStart w:id="47" w:name="_Toc513029212"/>
      <w:r/>
      <w:bookmarkStart w:id="48" w:name="_Toc20823284"/>
      <w:r/>
      <w:bookmarkStart w:id="49" w:name="_Toc462564071"/>
      <w:r/>
      <w:bookmarkStart w:id="50" w:name="_Toc16938528"/>
      <w:r>
        <w:rPr>
          <w:rFonts w:hint="eastAsia" w:ascii="宋体" w:hAnsi="宋体" w:cs="宋体"/>
          <w:sz w:val="24"/>
          <w:szCs w:val="24"/>
          <w:highlight w:val="none"/>
        </w:rPr>
        <w:t xml:space="preserve">7、招标文件的澄清或修改</w:t>
      </w:r>
      <w:bookmarkEnd w:id="47"/>
      <w:r/>
      <w:bookmarkEnd w:id="48"/>
      <w:r/>
      <w:bookmarkEnd w:id="49"/>
      <w:r/>
      <w:bookmarkEnd w:id="50"/>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7.1 在投标截止时间前。诺德招投标咨询服务（苏州）有限公司可以对招标文件进行澄清或修改。</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7.2</w:t>
      </w:r>
      <w:bookmarkStart w:id="51" w:name="EB14f04c7329d342c2b5d53bfcbbeaa167"/>
      <w:r>
        <w:rPr>
          <w:rFonts w:hint="eastAsia" w:ascii="宋体" w:hAnsi="宋体" w:cs="宋体"/>
          <w:sz w:val="24"/>
          <w:szCs w:val="24"/>
          <w:highlight w:val="none"/>
        </w:rPr>
        <w:t xml:space="preserve"> 诺德招投标咨询服务（苏州）有限公司</w:t>
      </w:r>
      <w:bookmarkEnd w:id="51"/>
      <w:r>
        <w:rPr>
          <w:rFonts w:hint="eastAsia" w:ascii="宋体" w:hAnsi="宋体" w:cs="宋体"/>
          <w:sz w:val="24"/>
          <w:szCs w:val="24"/>
          <w:highlight w:val="none"/>
        </w:rPr>
        <w:t xml:space="preserve">有权按照法定的要求推迟投标截止日期和开标日期。</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7.3 招标文件的实质性变动或修改将在政府采购公告媒体网通知，投标人可自行下载。补充文件将作为招标文件的组成部分，并对投标人具有约束力。</w:t>
      </w:r>
      <w:r/>
    </w:p>
    <w:p>
      <w:pPr>
        <w:pStyle w:val="748"/>
        <w:rPr>
          <w:rFonts w:hint="eastAsia" w:ascii="宋体" w:hAnsi="宋体" w:cs="宋体"/>
          <w:highlight w:val="none"/>
        </w:rPr>
      </w:pPr>
      <w:r/>
      <w:bookmarkStart w:id="52" w:name="_Toc38368122"/>
      <w:r/>
      <w:bookmarkStart w:id="53" w:name="_Toc9247"/>
      <w:r/>
      <w:bookmarkStart w:id="54" w:name="_Toc513029213"/>
      <w:r/>
      <w:bookmarkStart w:id="55" w:name="_Toc20823285"/>
      <w:r/>
      <w:bookmarkStart w:id="56" w:name="_Toc120614216"/>
      <w:r/>
      <w:bookmarkStart w:id="57" w:name="_Toc35266022"/>
      <w:r/>
      <w:bookmarkStart w:id="58" w:name="_Toc16938529"/>
      <w:r/>
      <w:bookmarkStart w:id="59" w:name="_Toc11441"/>
      <w:r/>
      <w:bookmarkStart w:id="60" w:name="_Toc54615241"/>
      <w:r/>
      <w:bookmarkStart w:id="61" w:name="_Toc160524314"/>
      <w:r/>
      <w:bookmarkStart w:id="62" w:name="_Toc462564072"/>
      <w:r>
        <w:rPr>
          <w:rFonts w:hint="eastAsia" w:ascii="宋体" w:hAnsi="宋体" w:cs="宋体"/>
          <w:highlight w:val="none"/>
        </w:rPr>
        <w:t xml:space="preserve">三、投标文件的编制</w:t>
      </w:r>
      <w:bookmarkEnd w:id="52"/>
      <w:r/>
      <w:bookmarkEnd w:id="53"/>
      <w:r/>
      <w:bookmarkEnd w:id="54"/>
      <w:r/>
      <w:bookmarkEnd w:id="55"/>
      <w:r/>
      <w:bookmarkEnd w:id="56"/>
      <w:r/>
      <w:bookmarkEnd w:id="57"/>
      <w:r/>
      <w:bookmarkEnd w:id="58"/>
      <w:r/>
      <w:bookmarkEnd w:id="59"/>
      <w:r/>
      <w:bookmarkEnd w:id="60"/>
      <w:r/>
      <w:bookmarkEnd w:id="61"/>
      <w:r/>
      <w:bookmarkEnd w:id="62"/>
      <w:r/>
      <w:r/>
    </w:p>
    <w:p>
      <w:pPr>
        <w:ind w:firstLine="480"/>
        <w:jc w:val="left"/>
        <w:keepLines/>
        <w:keepNext/>
        <w:spacing w:line="440" w:lineRule="exact"/>
        <w:rPr>
          <w:rFonts w:hint="eastAsia" w:ascii="宋体" w:hAnsi="宋体" w:cs="宋体"/>
          <w:sz w:val="24"/>
          <w:szCs w:val="24"/>
          <w:highlight w:val="none"/>
        </w:rPr>
        <w:outlineLvl w:val="2"/>
      </w:pPr>
      <w:r/>
      <w:bookmarkStart w:id="63" w:name="_Toc20823286"/>
      <w:r/>
      <w:bookmarkStart w:id="64" w:name="_Toc462564073"/>
      <w:r/>
      <w:bookmarkStart w:id="65" w:name="_Toc513029214"/>
      <w:r/>
      <w:bookmarkStart w:id="66" w:name="_Toc16938530"/>
      <w:r>
        <w:rPr>
          <w:rFonts w:hint="eastAsia" w:ascii="宋体" w:hAnsi="宋体" w:cs="宋体"/>
          <w:sz w:val="24"/>
          <w:szCs w:val="24"/>
          <w:highlight w:val="none"/>
        </w:rPr>
        <w:t xml:space="preserve">8、投标文件的语言及度量衡单位</w:t>
      </w:r>
      <w:bookmarkEnd w:id="63"/>
      <w:r/>
      <w:bookmarkEnd w:id="64"/>
      <w:r/>
      <w:bookmarkEnd w:id="65"/>
      <w:r/>
      <w:bookmarkEnd w:id="66"/>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8.1 投标人提交的投标文件以及投标人与诺德招投标咨询服务（苏州）有限公司就有关投标的所有来往通知、函件和文件均应使用简体中文。</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8.2 除技术性能另有规定外，投标文件所使用的度量衡单位，均须采用国家法定计量单位。</w:t>
      </w:r>
      <w:r/>
    </w:p>
    <w:p>
      <w:pPr>
        <w:ind w:firstLine="480"/>
        <w:jc w:val="left"/>
        <w:keepLines/>
        <w:keepNext/>
        <w:spacing w:line="440" w:lineRule="exact"/>
        <w:rPr>
          <w:rFonts w:hint="eastAsia" w:ascii="宋体" w:hAnsi="宋体" w:cs="宋体"/>
          <w:sz w:val="24"/>
          <w:szCs w:val="24"/>
          <w:highlight w:val="none"/>
        </w:rPr>
        <w:outlineLvl w:val="2"/>
      </w:pPr>
      <w:r/>
      <w:bookmarkStart w:id="67" w:name="_Toc16938531"/>
      <w:r/>
      <w:bookmarkStart w:id="68" w:name="_Toc20823287"/>
      <w:r/>
      <w:bookmarkStart w:id="69" w:name="_Toc462564074"/>
      <w:r/>
      <w:bookmarkStart w:id="70" w:name="_Toc513029215"/>
      <w:r>
        <w:rPr>
          <w:rFonts w:hint="eastAsia" w:ascii="宋体" w:hAnsi="宋体" w:cs="宋体"/>
          <w:sz w:val="24"/>
          <w:szCs w:val="24"/>
          <w:highlight w:val="none"/>
        </w:rPr>
        <w:t xml:space="preserve">9、投标文件构成</w:t>
      </w:r>
      <w:bookmarkEnd w:id="67"/>
      <w:r/>
      <w:bookmarkEnd w:id="68"/>
      <w:r/>
      <w:bookmarkEnd w:id="69"/>
      <w:r/>
      <w:bookmarkEnd w:id="70"/>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9.1 投标人编写的投标文件应包括投标函、开标一览表、资格证明文件、第四章项目需求中实质性要求响应对照表、技术及服务方案、投标人情况介绍等部分。</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9.2 特别提醒：投标人必须在投标文件接收截止时间之前在系统中提交所有与开评标相关的资料。开评标现场不接收任何资料。</w:t>
      </w:r>
      <w:r/>
    </w:p>
    <w:p>
      <w:pPr>
        <w:ind w:firstLine="480"/>
        <w:jc w:val="left"/>
        <w:keepLines/>
        <w:keepNext/>
        <w:spacing w:line="440" w:lineRule="exact"/>
        <w:rPr>
          <w:rFonts w:hint="eastAsia" w:ascii="宋体" w:hAnsi="宋体" w:cs="宋体"/>
          <w:sz w:val="24"/>
          <w:szCs w:val="24"/>
          <w:highlight w:val="none"/>
        </w:rPr>
        <w:outlineLvl w:val="2"/>
      </w:pPr>
      <w:r/>
      <w:bookmarkStart w:id="71" w:name="_Hlt26670360"/>
      <w:r/>
      <w:bookmarkEnd w:id="71"/>
      <w:r/>
      <w:bookmarkStart w:id="72" w:name="_Hlt26954838"/>
      <w:r/>
      <w:bookmarkEnd w:id="72"/>
      <w:r/>
      <w:bookmarkStart w:id="73" w:name="_Hlt26668975"/>
      <w:r/>
      <w:bookmarkEnd w:id="73"/>
      <w:r/>
      <w:bookmarkStart w:id="74" w:name="_Toc14577357"/>
      <w:r/>
      <w:bookmarkStart w:id="75" w:name="_Toc513029219"/>
      <w:r/>
      <w:bookmarkStart w:id="76" w:name="_Toc49090509"/>
      <w:r/>
      <w:bookmarkStart w:id="77" w:name="_Toc513029216"/>
      <w:r/>
      <w:bookmarkStart w:id="78" w:name="_Toc14577354"/>
      <w:r/>
      <w:bookmarkStart w:id="79" w:name="_Toc49090507"/>
      <w:r>
        <w:rPr>
          <w:rFonts w:hint="eastAsia" w:ascii="宋体" w:hAnsi="宋体" w:cs="宋体"/>
          <w:sz w:val="24"/>
          <w:szCs w:val="24"/>
          <w:highlight w:val="none"/>
        </w:rPr>
        <w:t xml:space="preserve">10、投标函和开标一览表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10.1 投标人应按照招标文件中提供的格式完整、正确填写投标函、开标一览表。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10.2 开标一览表中的价格应与投标文件中投标配置与分项报价表（或经费测算表）中的价格一致，若出现价格不一致的情况，评标时一律按开标一览表中价格为准。</w:t>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11、投标人资格证明文件</w:t>
      </w:r>
      <w:bookmarkEnd w:id="74"/>
      <w:r/>
      <w:bookmarkEnd w:id="75"/>
      <w:r/>
      <w:bookmarkEnd w:id="76"/>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11.1</w:t>
      </w:r>
      <w:bookmarkStart w:id="80" w:name="_Hlt26668999"/>
      <w:r/>
      <w:bookmarkEnd w:id="80"/>
      <w:r>
        <w:rPr>
          <w:rFonts w:hint="eastAsia" w:ascii="宋体" w:hAnsi="宋体" w:cs="宋体"/>
          <w:sz w:val="24"/>
          <w:szCs w:val="24"/>
          <w:highlight w:val="none"/>
        </w:rPr>
        <w:t xml:space="preserve"> 投标人应按招标文件的要求提交资格证明文件。</w:t>
      </w:r>
      <w:bookmarkEnd w:id="77"/>
      <w:r/>
      <w:bookmarkEnd w:id="78"/>
      <w:r/>
      <w:bookmarkEnd w:id="79"/>
      <w:r/>
      <w:r/>
    </w:p>
    <w:p>
      <w:pPr>
        <w:ind w:firstLine="480"/>
        <w:jc w:val="left"/>
        <w:keepLines/>
        <w:keepNext/>
        <w:spacing w:line="440" w:lineRule="exact"/>
        <w:rPr>
          <w:rFonts w:hint="eastAsia" w:ascii="宋体" w:hAnsi="宋体" w:cs="宋体"/>
          <w:sz w:val="24"/>
          <w:szCs w:val="24"/>
          <w:highlight w:val="none"/>
        </w:rPr>
        <w:outlineLvl w:val="2"/>
      </w:pPr>
      <w:r/>
      <w:bookmarkStart w:id="81" w:name="_Toc14577355"/>
      <w:r/>
      <w:bookmarkStart w:id="82" w:name="_Toc49090508"/>
      <w:r>
        <w:rPr>
          <w:rFonts w:hint="eastAsia" w:ascii="宋体" w:hAnsi="宋体" w:cs="宋体"/>
          <w:sz w:val="24"/>
          <w:szCs w:val="24"/>
          <w:highlight w:val="none"/>
        </w:rPr>
        <w:t xml:space="preserve">12、</w:t>
      </w:r>
      <w:bookmarkEnd w:id="81"/>
      <w:r/>
      <w:bookmarkEnd w:id="82"/>
      <w:r>
        <w:rPr>
          <w:rFonts w:hint="eastAsia" w:ascii="宋体" w:hAnsi="宋体" w:cs="宋体"/>
          <w:sz w:val="24"/>
          <w:szCs w:val="24"/>
          <w:highlight w:val="none"/>
        </w:rPr>
        <w:t xml:space="preserve">投标配置与分项报价表（或经费测算表）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12.1 投标人应按照招标文件规定格式填报。每项货物和服务等只允许有一个报价。</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12.2 标的物</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12.2.1 采购人需求的有关服务等。</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12.3 投标货币</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投标文件中的货物单价和总价无特殊规定的采用人民币报价，以元为单位标注。招标文件中另有规定的按规定执行。</w:t>
      </w:r>
      <w:r/>
    </w:p>
    <w:p>
      <w:pPr>
        <w:ind w:firstLine="420"/>
        <w:spacing w:line="440" w:lineRule="exact"/>
        <w:rPr>
          <w:rFonts w:hint="eastAsia" w:ascii="宋体" w:hAnsi="宋体" w:cs="宋体"/>
          <w:iCs/>
          <w:color w:val="000000"/>
          <w:sz w:val="24"/>
          <w:highlight w:val="none"/>
        </w:rPr>
      </w:pPr>
      <w:r>
        <w:rPr>
          <w:rFonts w:hint="eastAsia" w:ascii="宋体" w:hAnsi="宋体" w:cs="宋体"/>
          <w:sz w:val="24"/>
          <w:szCs w:val="24"/>
          <w:highlight w:val="none"/>
        </w:rPr>
        <w:t xml:space="preserve">12.4 项目价格</w:t>
      </w:r>
      <w:r>
        <w:rPr>
          <w:rFonts w:hint="eastAsia" w:ascii="宋体" w:hAnsi="宋体" w:cs="宋体"/>
          <w:color w:val="000000"/>
          <w:sz w:val="24"/>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12.5 本报价必须充分考虑所有可能影响到报价的价格因素，一旦投标结束最终成交，如发生漏、缺、少项，都将被认为是中标人的报价让利行为。</w:t>
      </w:r>
      <w:bookmarkStart w:id="83" w:name="_Hlt26954731"/>
      <w:r/>
      <w:bookmarkEnd w:id="83"/>
      <w:r/>
      <w:bookmarkStart w:id="84" w:name="_Hlt26670486"/>
      <w:r/>
      <w:bookmarkEnd w:id="84"/>
      <w:r/>
      <w:bookmarkStart w:id="85" w:name="_Hlt26954846"/>
      <w:r/>
      <w:bookmarkEnd w:id="85"/>
      <w:r/>
      <w:bookmarkStart w:id="86" w:name="_Hlt26954848"/>
      <w:r/>
      <w:bookmarkEnd w:id="86"/>
      <w:r/>
      <w:bookmarkStart w:id="87" w:name="_Hlt26670482"/>
      <w:r/>
      <w:bookmarkEnd w:id="87"/>
      <w:r/>
      <w:r/>
    </w:p>
    <w:p>
      <w:pPr>
        <w:ind w:firstLine="480"/>
        <w:jc w:val="left"/>
        <w:keepLines/>
        <w:keepNext/>
        <w:spacing w:line="440" w:lineRule="exact"/>
        <w:rPr>
          <w:rFonts w:hint="eastAsia" w:ascii="宋体" w:hAnsi="宋体" w:cs="宋体"/>
          <w:sz w:val="24"/>
          <w:szCs w:val="24"/>
          <w:highlight w:val="none"/>
        </w:rPr>
        <w:outlineLvl w:val="2"/>
      </w:pPr>
      <w:r/>
      <w:bookmarkStart w:id="88" w:name="_Toc14577359"/>
      <w:r/>
      <w:bookmarkStart w:id="89" w:name="_Toc49090510"/>
      <w:r>
        <w:rPr>
          <w:rFonts w:hint="eastAsia" w:ascii="宋体" w:hAnsi="宋体" w:cs="宋体"/>
          <w:sz w:val="24"/>
          <w:szCs w:val="24"/>
          <w:highlight w:val="none"/>
        </w:rPr>
        <w:t xml:space="preserve">13、技术及服务方案</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13.1 根据自己对需求的理解撰写需求分析和服务方案。</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13.2 根据自己对项目需求的分析，提出人员配备方案，并详细介绍拟参加本项目服务的人员的资历和持有相关证书情况，特别要详细介绍该项目负责人的学历、资质和所从事过类似案例管理情况。</w:t>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14、投标人情况介绍</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14.1 投标人的总体情况应在电子投标文件中作出说明。</w:t>
      </w:r>
      <w:bookmarkEnd w:id="88"/>
      <w:r/>
      <w:bookmarkEnd w:id="89"/>
      <w:r/>
      <w:bookmarkStart w:id="90" w:name="EBf6e5e332cb7245ab8f3a9801503c122b"/>
      <w:r/>
      <w:bookmarkEnd w:id="90"/>
      <w:r/>
      <w:r/>
    </w:p>
    <w:p>
      <w:pPr>
        <w:ind w:firstLine="480"/>
        <w:jc w:val="left"/>
        <w:keepLines/>
        <w:keepNext/>
        <w:spacing w:line="440" w:lineRule="exact"/>
        <w:rPr>
          <w:rFonts w:hint="eastAsia" w:ascii="宋体" w:hAnsi="宋体" w:cs="宋体"/>
          <w:sz w:val="24"/>
          <w:szCs w:val="24"/>
          <w:highlight w:val="none"/>
        </w:rPr>
        <w:outlineLvl w:val="2"/>
      </w:pPr>
      <w:r/>
      <w:bookmarkStart w:id="91" w:name="_Hlt26670489"/>
      <w:r/>
      <w:bookmarkEnd w:id="91"/>
      <w:r/>
      <w:bookmarkStart w:id="92" w:name="_Hlt26954850"/>
      <w:r/>
      <w:bookmarkEnd w:id="92"/>
      <w:r/>
      <w:bookmarkStart w:id="93" w:name="_Hlt26954734"/>
      <w:r/>
      <w:bookmarkEnd w:id="93"/>
      <w:r/>
      <w:bookmarkStart w:id="94" w:name="_Toc49090511"/>
      <w:r/>
      <w:bookmarkStart w:id="95" w:name="_Toc14577360"/>
      <w:r>
        <w:rPr>
          <w:rFonts w:hint="eastAsia" w:ascii="宋体" w:hAnsi="宋体" w:cs="宋体"/>
          <w:sz w:val="24"/>
          <w:szCs w:val="24"/>
          <w:highlight w:val="none"/>
        </w:rPr>
        <w:t xml:space="preserve">15、投标保证金</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15.1 本次招标不收取投标保证金。</w:t>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16、投标有效期</w:t>
      </w:r>
      <w:bookmarkEnd w:id="94"/>
      <w:r/>
      <w:bookmarkEnd w:id="95"/>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16.1 投标有效期为诺德招投标咨询服务（苏州）有限公司规定的开标之日后九十（90）天。投标有效期比规定短的将被视为非响应性投标而予以拒绝。</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16.2 在特殊情况下，诺德招投标咨询服务（苏州）有限公司于原投标有效期满之前，可向投标人提出延长投标有效期的要求。这种要求与答复均应采用书面形式。投标人可以拒绝诺德招投标咨询服务（苏州）有限公司的这一要求而放弃投标。同意延长投标有效期的投标人既不能要求也不允许修改其投标文件。</w:t>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17、投标文件的签署</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17.1 本招标文件所表述（指定）的公章是指法定名称章，不包括合同专用章、业务专用章等印章。</w:t>
      </w:r>
      <w:bookmarkStart w:id="96" w:name="_Hlt26954852"/>
      <w:r/>
      <w:bookmarkEnd w:id="96"/>
      <w:r/>
      <w:bookmarkStart w:id="97" w:name="_Hlt26954739"/>
      <w:r/>
      <w:bookmarkEnd w:id="97"/>
      <w:r/>
      <w:bookmarkStart w:id="98" w:name="EBfdb2e00cf1ee477a9cdb47d13b603829"/>
      <w:r/>
      <w:bookmarkEnd w:id="98"/>
      <w:r/>
      <w:r/>
    </w:p>
    <w:p>
      <w:pPr>
        <w:pStyle w:val="748"/>
        <w:rPr>
          <w:rFonts w:hint="eastAsia" w:ascii="宋体" w:hAnsi="宋体" w:cs="宋体"/>
          <w:highlight w:val="none"/>
        </w:rPr>
      </w:pPr>
      <w:r/>
      <w:bookmarkStart w:id="99" w:name="_Toc24414"/>
      <w:r/>
      <w:bookmarkStart w:id="100" w:name="_Toc160524315"/>
      <w:r/>
      <w:bookmarkStart w:id="101" w:name="_Toc6389296"/>
      <w:r/>
      <w:bookmarkStart w:id="102" w:name="_Toc54615242"/>
      <w:r/>
      <w:bookmarkStart w:id="103" w:name="_Toc38368123"/>
      <w:r/>
      <w:bookmarkStart w:id="104" w:name="_Toc6388848"/>
      <w:r/>
      <w:bookmarkStart w:id="105" w:name="_Toc35266023"/>
      <w:r/>
      <w:bookmarkStart w:id="106" w:name="_Toc31935"/>
      <w:r/>
      <w:bookmarkStart w:id="107" w:name="_Toc20823296"/>
      <w:r/>
      <w:bookmarkStart w:id="108" w:name="_Toc513029224"/>
      <w:r/>
      <w:bookmarkStart w:id="109" w:name="_Toc120614217"/>
      <w:r/>
      <w:bookmarkStart w:id="110" w:name="_Toc16938540"/>
      <w:r>
        <w:rPr>
          <w:rFonts w:hint="eastAsia" w:ascii="宋体" w:hAnsi="宋体" w:cs="宋体"/>
          <w:highlight w:val="none"/>
        </w:rPr>
        <w:t xml:space="preserve">四、投标文件的制作、上传、递交</w:t>
      </w:r>
      <w:bookmarkEnd w:id="99"/>
      <w:r/>
      <w:bookmarkEnd w:id="100"/>
      <w:r/>
      <w:bookmarkEnd w:id="101"/>
      <w:r/>
      <w:bookmarkEnd w:id="102"/>
      <w:r/>
      <w:bookmarkEnd w:id="103"/>
      <w:r/>
      <w:bookmarkEnd w:id="104"/>
      <w:r/>
      <w:bookmarkEnd w:id="105"/>
      <w:r/>
      <w:bookmarkEnd w:id="106"/>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18、投标文件的递交</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18.1 电子投标文件的递交</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投标人应当按照《操作手册》规定，在投标截止时间前制作并上传电子投标文件。</w:t>
      </w:r>
      <w:bookmarkStart w:id="111" w:name="EB5e78b12e89984a20ab881c475623475b"/>
      <w:r/>
      <w:bookmarkEnd w:id="111"/>
      <w:r/>
      <w:r/>
    </w:p>
    <w:p>
      <w:pPr>
        <w:ind w:firstLine="480"/>
        <w:jc w:val="left"/>
        <w:keepLines/>
        <w:keepNext/>
        <w:spacing w:line="440" w:lineRule="exact"/>
        <w:rPr>
          <w:rFonts w:hint="eastAsia" w:ascii="宋体" w:hAnsi="宋体" w:cs="宋体"/>
          <w:sz w:val="24"/>
          <w:szCs w:val="24"/>
          <w:highlight w:val="none"/>
        </w:rPr>
        <w:outlineLvl w:val="2"/>
      </w:pPr>
      <w:r/>
      <w:bookmarkStart w:id="112" w:name="_Toc6388850"/>
      <w:r/>
      <w:bookmarkStart w:id="113" w:name="_Toc6389298"/>
      <w:r>
        <w:rPr>
          <w:rFonts w:hint="eastAsia" w:ascii="宋体" w:hAnsi="宋体" w:cs="宋体"/>
          <w:sz w:val="24"/>
          <w:szCs w:val="24"/>
          <w:highlight w:val="none"/>
        </w:rPr>
        <w:t xml:space="preserve">19、投标截止日期</w:t>
      </w:r>
      <w:bookmarkEnd w:id="112"/>
      <w:r/>
      <w:bookmarkEnd w:id="113"/>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19.1 投标人上传电子投标文件的时间不得迟于招标公告中规定的投标截止时间。</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投标人应充分考虑到网络环境、网络带宽等风险因素，如因投标人自身原因造成的电子投标文件上传不成功由投标人自行承担全部责任。</w:t>
      </w:r>
      <w:bookmarkStart w:id="114" w:name="EB4c6421107b4c4e38bf2769d0237905a7"/>
      <w:r/>
      <w:bookmarkEnd w:id="114"/>
      <w:r/>
      <w:r/>
    </w:p>
    <w:p>
      <w:pPr>
        <w:ind w:firstLine="480"/>
        <w:jc w:val="left"/>
        <w:keepLines/>
        <w:keepNext/>
        <w:spacing w:line="440" w:lineRule="exact"/>
        <w:rPr>
          <w:rFonts w:hint="eastAsia" w:ascii="宋体" w:hAnsi="宋体" w:cs="宋体"/>
          <w:sz w:val="24"/>
          <w:szCs w:val="24"/>
          <w:highlight w:val="none"/>
        </w:rPr>
        <w:outlineLvl w:val="2"/>
      </w:pPr>
      <w:r/>
      <w:bookmarkStart w:id="115" w:name="_Toc6388851"/>
      <w:r/>
      <w:bookmarkStart w:id="116" w:name="_Toc6389299"/>
      <w:r>
        <w:rPr>
          <w:rFonts w:hint="eastAsia" w:ascii="宋体" w:hAnsi="宋体" w:cs="宋体"/>
          <w:sz w:val="24"/>
          <w:szCs w:val="24"/>
          <w:highlight w:val="none"/>
        </w:rPr>
        <w:t xml:space="preserve">20、投标文件的递交</w:t>
      </w:r>
      <w:bookmarkEnd w:id="115"/>
      <w:r/>
      <w:bookmarkEnd w:id="116"/>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20.1</w:t>
      </w:r>
      <w:bookmarkStart w:id="117" w:name="EBfffe463a2deb4e7cad93cb8e37ffda5e"/>
      <w:r>
        <w:rPr>
          <w:rFonts w:hint="eastAsia" w:ascii="宋体" w:hAnsi="宋体" w:cs="宋体"/>
          <w:sz w:val="24"/>
          <w:szCs w:val="24"/>
          <w:highlight w:val="none"/>
        </w:rPr>
        <w:t xml:space="preserve"> 诺德招投标咨询服务（苏州）有限公司</w:t>
      </w:r>
      <w:bookmarkEnd w:id="117"/>
      <w:r>
        <w:rPr>
          <w:rFonts w:hint="eastAsia" w:ascii="宋体" w:hAnsi="宋体" w:cs="宋体"/>
          <w:sz w:val="24"/>
          <w:szCs w:val="24"/>
          <w:highlight w:val="none"/>
        </w:rPr>
        <w:t xml:space="preserve">拒绝接收在其规定的投标截止时间后递交的任何投标文件。</w:t>
      </w:r>
      <w:r/>
    </w:p>
    <w:p>
      <w:pPr>
        <w:ind w:firstLine="480"/>
        <w:jc w:val="left"/>
        <w:keepLines/>
        <w:keepNext/>
        <w:spacing w:line="440" w:lineRule="exact"/>
        <w:rPr>
          <w:rFonts w:hint="eastAsia" w:ascii="宋体" w:hAnsi="宋体" w:cs="宋体"/>
          <w:sz w:val="24"/>
          <w:szCs w:val="24"/>
          <w:highlight w:val="none"/>
        </w:rPr>
        <w:outlineLvl w:val="2"/>
      </w:pPr>
      <w:r/>
      <w:bookmarkStart w:id="118" w:name="_Toc6388852"/>
      <w:r/>
      <w:bookmarkStart w:id="119" w:name="_Toc6389300"/>
      <w:r>
        <w:rPr>
          <w:rFonts w:hint="eastAsia" w:ascii="宋体" w:hAnsi="宋体" w:cs="宋体"/>
          <w:sz w:val="24"/>
          <w:szCs w:val="24"/>
          <w:highlight w:val="none"/>
        </w:rPr>
        <w:t xml:space="preserve">21、投标文件的修改和撤回</w:t>
      </w:r>
      <w:bookmarkEnd w:id="118"/>
      <w:r/>
      <w:bookmarkEnd w:id="119"/>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21.1 投标人在递交投标文件后，可以修改或撤回其投标文件，但这种修改和撤回，必须在规定的投标截止时间前，具体操作方法见《操作手册》。</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21.2 投标人撤回电子投标文件，则认为其不再参与本项目投标活动。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21.3 在投标截止时间之后，投标人不得对其电子投标文件作任何修改。</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21.4 在投标截止时间至招标文件中规定的投标有效期满之间的这段时间内，投标人不得撤销其投标。</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21.5 不论投标人中标与否，投标文件均不退回。</w:t>
      </w:r>
      <w:bookmarkEnd w:id="107"/>
      <w:r/>
      <w:bookmarkEnd w:id="108"/>
      <w:r/>
      <w:bookmarkEnd w:id="109"/>
      <w:r/>
      <w:bookmarkEnd w:id="110"/>
      <w:r/>
      <w:bookmarkStart w:id="120" w:name="EB7c302f080cf342679641097daf23b42b"/>
      <w:r/>
      <w:bookmarkEnd w:id="120"/>
      <w:r/>
      <w:r/>
    </w:p>
    <w:p>
      <w:pPr>
        <w:pStyle w:val="748"/>
        <w:rPr>
          <w:rFonts w:hint="eastAsia" w:ascii="宋体" w:hAnsi="宋体" w:cs="宋体"/>
          <w:highlight w:val="none"/>
        </w:rPr>
      </w:pPr>
      <w:r/>
      <w:bookmarkStart w:id="121" w:name="_Toc10563"/>
      <w:r/>
      <w:bookmarkStart w:id="122" w:name="_Toc11434"/>
      <w:r/>
      <w:bookmarkStart w:id="123" w:name="_Toc20823301"/>
      <w:r/>
      <w:bookmarkStart w:id="124" w:name="_Toc120614218"/>
      <w:r/>
      <w:bookmarkStart w:id="125" w:name="_Toc16938545"/>
      <w:r/>
      <w:bookmarkStart w:id="126" w:name="_Toc35266024"/>
      <w:r/>
      <w:bookmarkStart w:id="127" w:name="_Toc513029229"/>
      <w:r/>
      <w:bookmarkStart w:id="128" w:name="_Toc54615243"/>
      <w:r/>
      <w:bookmarkStart w:id="129" w:name="_Toc38368124"/>
      <w:r/>
      <w:bookmarkStart w:id="130" w:name="_Toc160524316"/>
      <w:r>
        <w:rPr>
          <w:rFonts w:hint="eastAsia" w:ascii="宋体" w:hAnsi="宋体" w:cs="宋体"/>
          <w:highlight w:val="none"/>
        </w:rPr>
        <w:t xml:space="preserve">五、开标与评标</w:t>
      </w:r>
      <w:bookmarkEnd w:id="121"/>
      <w:r/>
      <w:bookmarkEnd w:id="122"/>
      <w:r/>
      <w:bookmarkEnd w:id="123"/>
      <w:r/>
      <w:bookmarkEnd w:id="124"/>
      <w:r/>
      <w:bookmarkEnd w:id="125"/>
      <w:r/>
      <w:bookmarkEnd w:id="126"/>
      <w:r/>
      <w:bookmarkEnd w:id="127"/>
      <w:r/>
      <w:bookmarkEnd w:id="128"/>
      <w:r/>
      <w:bookmarkEnd w:id="129"/>
      <w:r/>
      <w:bookmarkEnd w:id="130"/>
      <w:r/>
      <w:r/>
    </w:p>
    <w:p>
      <w:pPr>
        <w:ind w:firstLine="480"/>
        <w:jc w:val="left"/>
        <w:keepLines/>
        <w:keepNext/>
        <w:spacing w:line="440" w:lineRule="exact"/>
        <w:rPr>
          <w:rFonts w:hint="eastAsia" w:ascii="宋体" w:hAnsi="宋体" w:cs="宋体"/>
          <w:sz w:val="24"/>
          <w:szCs w:val="24"/>
          <w:highlight w:val="none"/>
        </w:rPr>
        <w:outlineLvl w:val="2"/>
      </w:pPr>
      <w:r/>
      <w:bookmarkStart w:id="131" w:name="_Toc20823302"/>
      <w:r/>
      <w:bookmarkStart w:id="132" w:name="_Toc16938546"/>
      <w:r/>
      <w:bookmarkStart w:id="133" w:name="_Toc513029230"/>
      <w:r>
        <w:rPr>
          <w:rFonts w:hint="eastAsia" w:ascii="宋体" w:hAnsi="宋体" w:cs="宋体"/>
          <w:sz w:val="24"/>
          <w:szCs w:val="24"/>
          <w:highlight w:val="none"/>
        </w:rPr>
        <w:t xml:space="preserve">22、开标</w:t>
      </w:r>
      <w:bookmarkEnd w:id="131"/>
      <w:r/>
      <w:bookmarkEnd w:id="132"/>
      <w:r/>
      <w:bookmarkEnd w:id="133"/>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22.1 诺德招投标咨询服务（苏州）有限公司将在招标公告中规定的时间和地点组织公开开标。</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22.2 开标仪式由诺德招投标咨询服务（苏州）有限公司主持，“苏采云”系统将自动对项目进行开标，宣布投标人名称、投标价格和招标文件规定的需要宣布的其他内容。</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22.3 投标人在开标过程中涉及到的投标文件解密等工作，应按照《操作手册》规定执行。投标人须在规定时间内完成投标文件解密。</w:t>
      </w:r>
      <w:bookmarkStart w:id="134" w:name="EB45a41a7a147945c0bb92535f2d40058d"/>
      <w:r/>
      <w:bookmarkEnd w:id="134"/>
      <w:r/>
      <w:bookmarkStart w:id="135" w:name="_Toc16938547"/>
      <w:r/>
      <w:bookmarkStart w:id="136" w:name="_Toc20823303"/>
      <w:r/>
      <w:bookmarkStart w:id="137" w:name="_Toc513029231"/>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23、评标委员会</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23.1 开标后，诺德招投标咨询服务（苏州）有限公司将立即组织评标委员会（以下简称评委会）进行评标。</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23.2 评委会由评审专家、采购人代表组成，且人员构成符合政府采购有关规定。</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23.3 评委会应以科学、公正的态度参加评审工作并推荐中标候选人。评审专家和采购人代表在评审过程中不受任何干扰，独立、负责地提出评审意见，并对自己的评审意见承担责任。</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23.4 评委会将对投标人的商业、技术秘密予以保密。</w:t>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24、评标过程的保密</w:t>
      </w:r>
      <w:bookmarkEnd w:id="135"/>
      <w:r/>
      <w:bookmarkEnd w:id="136"/>
      <w:r/>
      <w:bookmarkEnd w:id="137"/>
      <w:r>
        <w:rPr>
          <w:rFonts w:hint="eastAsia" w:ascii="宋体" w:hAnsi="宋体" w:cs="宋体"/>
          <w:sz w:val="24"/>
          <w:szCs w:val="24"/>
          <w:highlight w:val="none"/>
        </w:rPr>
        <w:t xml:space="preserve">与公正</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24.1 公开开标后，直至向中标的投标人授予合同时止，凡是与审查、澄清、评价和比较投标的有关资料以及授标建议等，均不得向投标人或与评标无关的其他人员透露。</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24.2 在评标过程中，如果投标人试图向诺德招投标咨询服务（苏州）有限公司和参与评标的人员施加任何影响，都将会导致其投标被拒绝。</w:t>
      </w:r>
      <w:r/>
    </w:p>
    <w:p>
      <w:pPr>
        <w:ind w:firstLine="480"/>
        <w:jc w:val="left"/>
        <w:keepLines/>
        <w:keepNext/>
        <w:spacing w:line="440" w:lineRule="exact"/>
        <w:rPr>
          <w:rFonts w:hint="eastAsia" w:ascii="宋体" w:hAnsi="宋体" w:cs="宋体"/>
          <w:sz w:val="24"/>
          <w:szCs w:val="24"/>
          <w:highlight w:val="none"/>
        </w:rPr>
        <w:outlineLvl w:val="2"/>
      </w:pPr>
      <w:r/>
      <w:bookmarkStart w:id="138" w:name="_Toc16938548"/>
      <w:r/>
      <w:bookmarkStart w:id="139" w:name="_Toc20823304"/>
      <w:r/>
      <w:bookmarkStart w:id="140" w:name="_Toc513029232"/>
      <w:r>
        <w:rPr>
          <w:rFonts w:hint="eastAsia" w:ascii="宋体" w:hAnsi="宋体" w:cs="宋体"/>
          <w:sz w:val="24"/>
          <w:szCs w:val="24"/>
          <w:highlight w:val="none"/>
        </w:rPr>
        <w:t xml:space="preserve">25、投标的澄清</w:t>
      </w:r>
      <w:bookmarkEnd w:id="138"/>
      <w:r/>
      <w:bookmarkEnd w:id="139"/>
      <w:r/>
      <w:bookmarkEnd w:id="140"/>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25.1 评标期间，为有助于对投标文件的审查、评价和比较，评委会有权要求投标人对其投标文件进行澄清，但并非对每个投标人都作澄清要求。</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20"/>
        <w:spacing w:line="440" w:lineRule="exact"/>
        <w:rPr>
          <w:highlight w:val="none"/>
        </w:rPr>
      </w:pPr>
      <w:r>
        <w:rPr>
          <w:rFonts w:hint="eastAsia" w:ascii="宋体" w:hAnsi="宋体" w:cs="宋体"/>
          <w:b/>
          <w:bCs/>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25.3 接到评委会澄清要求的投标人如未按规定做出澄清，其风险由投标人自行承担。</w:t>
      </w:r>
      <w:r/>
    </w:p>
    <w:p>
      <w:pPr>
        <w:ind w:firstLine="480"/>
        <w:jc w:val="left"/>
        <w:keepLines/>
        <w:keepNext/>
        <w:spacing w:line="440" w:lineRule="exact"/>
        <w:rPr>
          <w:rFonts w:hint="eastAsia" w:ascii="宋体" w:hAnsi="宋体" w:cs="宋体"/>
          <w:sz w:val="24"/>
          <w:szCs w:val="24"/>
          <w:highlight w:val="none"/>
        </w:rPr>
        <w:outlineLvl w:val="2"/>
      </w:pPr>
      <w:r/>
      <w:bookmarkStart w:id="141" w:name="_Toc16938549"/>
      <w:r/>
      <w:bookmarkStart w:id="142" w:name="_Toc20823305"/>
      <w:r/>
      <w:bookmarkStart w:id="143" w:name="_Toc513029233"/>
      <w:r>
        <w:rPr>
          <w:rFonts w:hint="eastAsia" w:ascii="宋体" w:hAnsi="宋体" w:cs="宋体"/>
          <w:sz w:val="24"/>
          <w:szCs w:val="24"/>
          <w:highlight w:val="none"/>
        </w:rPr>
        <w:t xml:space="preserve">26、</w:t>
      </w:r>
      <w:bookmarkEnd w:id="141"/>
      <w:r/>
      <w:bookmarkEnd w:id="142"/>
      <w:r/>
      <w:bookmarkEnd w:id="143"/>
      <w:r>
        <w:rPr>
          <w:rFonts w:hint="eastAsia" w:ascii="宋体" w:hAnsi="宋体" w:cs="宋体"/>
          <w:sz w:val="24"/>
          <w:szCs w:val="24"/>
          <w:highlight w:val="none"/>
        </w:rPr>
        <w:t xml:space="preserve">对投标文件的初审</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26.1 投标文件初审分为资格审查和符合性审查。</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26.1.1 资格性审查</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采购人或者采购代理机构依法对投标人的资格进行审查。</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26.1.1.1 关于信用查询：</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26.1.1.1.1 根据政府采购法及相关法规，以及苏州市财政局《关于印发苏州市市级政府采购信用记录查询和使用工作试行办法的通知》（苏财购（2017）11号）文件的规定，将对供应商进行信用查询。</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26.1.1.1.2 查询时间：投标文件递交截止时间。</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26.1.1.1.3 查询渠道：将在“信用中国”网站（www.creditchina.gov.cn）查询相关主体信用记录，以确定投标人是否具备投标资格，查询结果留存并归档。</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26.1.2 符合性审查：</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依据招标文件的规定，由评委会对投标文件进行审查，以确定是否对招标文件的实质性要求作出响应。</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26.4 投标文件报价出现前后不一致的，按下列规定修正：</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（1）投标文件中开标一览表（报价表）内容与投标文件中相应内容不一致的，以开标一览表（报价表）为准；</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（2）大写金额和小写金额不一致的，以大写金额为准；</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（3）单价金额小数点或者百分比有明显错位的，以开标一览表的总价为准，并修改单价；</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（4）总价金额与按单价汇总金额不一致的，以单价金额计算结果为准。</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26.5 评委会将允许修正投标文件中不构成重大偏离的、微小的、非正规的、不一致的或不规则的地方，但这些修改不能影响任何投标人相应的名次排列。</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26.6 异常低价投标审查</w:t>
      </w:r>
      <w:r/>
    </w:p>
    <w:p>
      <w:pPr>
        <w:pStyle w:val="789"/>
        <w:spacing w:line="440" w:lineRule="exact"/>
        <w:rPr>
          <w:rFonts w:hint="eastAsia" w:cs="宋体"/>
          <w:szCs w:val="24"/>
          <w:highlight w:val="none"/>
        </w:rPr>
      </w:pPr>
      <w:r>
        <w:rPr>
          <w:rFonts w:hint="eastAsia" w:cs="宋体"/>
          <w:szCs w:val="24"/>
          <w:highlight w:val="none"/>
        </w:rPr>
        <w:t xml:space="preserve">26.6.1 根据《关于推动解决政府采购异常低价问题相关工作的通知》 苏财购（2025）62号规定，政府采购评审中出现下列情形之一的，委员会应当启动异常低价投标(响应)审查程序：</w:t>
      </w:r>
      <w:r/>
    </w:p>
    <w:p>
      <w:pPr>
        <w:pStyle w:val="789"/>
        <w:spacing w:line="440" w:lineRule="exact"/>
        <w:rPr>
          <w:rFonts w:hint="eastAsia" w:cs="宋体"/>
          <w:szCs w:val="24"/>
          <w:highlight w:val="none"/>
        </w:rPr>
      </w:pPr>
      <w:r>
        <w:rPr>
          <w:rFonts w:hint="eastAsia" w:cs="宋体"/>
          <w:szCs w:val="24"/>
          <w:highlight w:val="none"/>
        </w:rPr>
        <w:t xml:space="preserve">（1）投标（响应）报价低于采购项目预算 50%的，即投标（响应）报价＜采购项目预算×50%；</w:t>
      </w:r>
      <w:r/>
    </w:p>
    <w:p>
      <w:pPr>
        <w:pStyle w:val="789"/>
        <w:spacing w:line="440" w:lineRule="exact"/>
        <w:rPr>
          <w:rFonts w:hint="eastAsia" w:cs="宋体"/>
          <w:szCs w:val="24"/>
          <w:highlight w:val="none"/>
        </w:rPr>
      </w:pPr>
      <w:r>
        <w:rPr>
          <w:rFonts w:hint="eastAsia" w:cs="宋体"/>
          <w:szCs w:val="24"/>
          <w:highlight w:val="none"/>
        </w:rPr>
        <w:t xml:space="preserve">（2）投标（响应）报价低于采购项目最高限价 45% 的，即投标（响应）报价＜采购项目最高限价×45%；</w:t>
      </w:r>
      <w:r/>
    </w:p>
    <w:p>
      <w:pPr>
        <w:pStyle w:val="789"/>
        <w:spacing w:line="440" w:lineRule="exact"/>
        <w:rPr>
          <w:rFonts w:hint="eastAsia" w:cs="宋体"/>
          <w:szCs w:val="24"/>
          <w:highlight w:val="none"/>
        </w:rPr>
      </w:pPr>
      <w:r>
        <w:rPr>
          <w:rFonts w:hint="eastAsia" w:cs="宋体"/>
          <w:szCs w:val="24"/>
          <w:highlight w:val="none"/>
        </w:rPr>
        <w:t xml:space="preserve">（3）评委会认定的投标人报价过低，有可能影响产品质量或者不能诚信履约的其他情形。</w:t>
      </w:r>
      <w:r/>
    </w:p>
    <w:p>
      <w:pPr>
        <w:pStyle w:val="789"/>
        <w:spacing w:line="440" w:lineRule="exact"/>
        <w:rPr>
          <w:rFonts w:hint="eastAsia" w:cs="宋体"/>
          <w:szCs w:val="24"/>
          <w:highlight w:val="none"/>
        </w:rPr>
      </w:pPr>
      <w:r>
        <w:rPr>
          <w:rFonts w:hint="eastAsia" w:cs="宋体"/>
          <w:szCs w:val="24"/>
          <w:highlight w:val="none"/>
        </w:rPr>
        <w:t xml:space="preserve">26.6.2 启动异常低价投标（响应）审查后，评委会应当通过苏采云系统要求相关投标人在合理的时间内，提供项目具体成本测算等与报价合理性相关的书面说明及相关证明材料，对投标（响应）价格作出解释，由评委会结合该行业当地薪资水平等情况，依据专业经验对投标人报价合理性进行判断。投标（响应）投标人不提供书面说明、证明材料，或者提供的书面说明、证明材料不能证明其报价合理性的，评委会应当将其作为无效投标（响应）处理。审查相关情况应当在评审报告中进行记录。</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26.7 投标人在开、评标全过程中应保持通讯畅通，并安排专人与诺德招投标咨询服务（苏州）有限公司及评标委员会联系。</w:t>
      </w:r>
      <w:bookmarkStart w:id="144" w:name="EB8e3ec86c09a94dac9cc9034e6027ee19"/>
      <w:r/>
      <w:bookmarkEnd w:id="144"/>
      <w:r/>
      <w:r/>
    </w:p>
    <w:p>
      <w:pPr>
        <w:ind w:firstLine="480"/>
        <w:jc w:val="left"/>
        <w:keepLines/>
        <w:keepNext/>
        <w:spacing w:line="440" w:lineRule="exact"/>
        <w:rPr>
          <w:rFonts w:hint="eastAsia" w:ascii="宋体" w:hAnsi="宋体" w:cs="宋体"/>
          <w:sz w:val="24"/>
          <w:szCs w:val="24"/>
          <w:highlight w:val="none"/>
        </w:rPr>
        <w:outlineLvl w:val="2"/>
      </w:pPr>
      <w:r/>
      <w:bookmarkStart w:id="145" w:name="_Toc16938550"/>
      <w:r/>
      <w:bookmarkStart w:id="146" w:name="_Toc20823306"/>
      <w:r/>
      <w:bookmarkStart w:id="147" w:name="_Toc513029234"/>
      <w:r/>
      <w:bookmarkStart w:id="148" w:name="_Toc200451960"/>
      <w:r>
        <w:rPr>
          <w:rFonts w:hint="eastAsia" w:ascii="宋体" w:hAnsi="宋体" w:cs="宋体"/>
          <w:sz w:val="24"/>
          <w:szCs w:val="24"/>
          <w:highlight w:val="none"/>
        </w:rPr>
        <w:t xml:space="preserve">27、</w:t>
      </w:r>
      <w:bookmarkEnd w:id="145"/>
      <w:r/>
      <w:bookmarkEnd w:id="146"/>
      <w:r/>
      <w:bookmarkEnd w:id="147"/>
      <w:r>
        <w:rPr>
          <w:rFonts w:hint="eastAsia" w:ascii="宋体" w:hAnsi="宋体" w:cs="宋体"/>
          <w:sz w:val="24"/>
          <w:szCs w:val="24"/>
          <w:highlight w:val="none"/>
        </w:rPr>
        <w:t xml:space="preserve">无效投标条款和废标条款</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 无效投标条款</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27.1.1 投标人未按照招标文件要求上传电子投标文件的；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27.1.2 投标人在规定时间内不解密投标文件或未成功解密投标文件的（因系统原因导致的除外)；</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27.1.3 投标文件中没有《开标一览表》或《开标一览表》未加盖投标人公章的；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27.1.4 投标文件中任何有选择的报价；</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27.1.5 投标文件报价出现前后不一致的，按招标文件规定修正后投标人不确认的；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27.1.6 不同投标人的投标文件由同一单位或者个人编制；</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27.1.7 不同投标人委托同一单位或者个人办理投标事宜；</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27.1.8 不同投标人的投标文件载明的项目管理成员或者联系人员为同一人；</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27.1.9 不同投标人的投标文件异常一致或者投标报价呈规律性差异；</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27.1.10 不同投标人的投标文件制作机器码一致的；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27.1.13 供应商被列入失信被执行人名单、重大税收违法失信主体名单、政府采购严重违法失信行为记录名单以及其他不符合《中华人民共和国政府采购法》第二十二条规定条件的信用记录的；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27.1.14 不同供应商的单位负责人为同一人或者存在直接控股、管理关系的；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27.1.15 为采购项目提供整体设计、规范编制或者项目管理、监理、检测等服务的；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27.1.16 资格证明文件中要求加盖公章而未加盖公章的；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27.1.17 投标文件未按招标文件要求签署、盖章的；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27.1.18 不具备招标文件中规定的资格要求或未按招标文件规定的要求提供资格证明文件的；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27.1.19 报价超过招标文件中规定的预算金额或者最高限价的；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27.1.20 投标文件含有采购人不能接受的附加条件的；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27.1.21 不响应招标文件中规定的实质性要求的（本招标文件中斜体且有下划线部分为实质性要求）；</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27.1.22 法律、法规和采购文件规定的其他无效情形；</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27.2 废标条款：</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(1)符合专业条件的供应商或者对招标文件作实质响应的供应商不足三家的；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(2)出现影响采购公正的违法、违规行为的；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(3)投标人的报价均超过了采购预算，采购人不能支付的；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(4)因重大变故，采购任务取消的。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27.3 投标截止时间结束后参加投标的供应商不足三家的处理：</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27.3.1 如出现投标截止时间结束后参加投标的供应商或者在评标期间对招标文件做出实质响应的供应商不足三家情况，按财政部第87号令第四十三条的规定执行。</w:t>
      </w:r>
      <w:bookmarkStart w:id="149" w:name="EB369a3ca3706348fd9a6451dab4968a5b"/>
      <w:r/>
      <w:bookmarkEnd w:id="149"/>
      <w:r/>
      <w:r/>
    </w:p>
    <w:p>
      <w:pPr>
        <w:pStyle w:val="748"/>
        <w:rPr>
          <w:rFonts w:hint="eastAsia" w:ascii="宋体" w:hAnsi="宋体" w:cs="宋体"/>
          <w:highlight w:val="none"/>
        </w:rPr>
      </w:pPr>
      <w:r/>
      <w:bookmarkStart w:id="150" w:name="_Toc20823307"/>
      <w:r/>
      <w:bookmarkStart w:id="151" w:name="_Toc513029235"/>
      <w:r/>
      <w:bookmarkStart w:id="152" w:name="_Toc16938551"/>
      <w:r/>
      <w:bookmarkStart w:id="153" w:name="_Toc35266025"/>
      <w:r/>
      <w:bookmarkStart w:id="154" w:name="_Toc13852"/>
      <w:r/>
      <w:bookmarkStart w:id="155" w:name="_Toc54615244"/>
      <w:r/>
      <w:bookmarkStart w:id="156" w:name="_Toc120614219"/>
      <w:r/>
      <w:bookmarkStart w:id="157" w:name="_Toc160524317"/>
      <w:r/>
      <w:bookmarkStart w:id="158" w:name="_Toc21531"/>
      <w:r/>
      <w:bookmarkStart w:id="159" w:name="_Toc38368125"/>
      <w:r>
        <w:rPr>
          <w:rFonts w:hint="eastAsia" w:ascii="宋体" w:hAnsi="宋体" w:cs="宋体"/>
          <w:highlight w:val="none"/>
        </w:rPr>
        <w:t xml:space="preserve">六、</w:t>
      </w:r>
      <w:bookmarkEnd w:id="150"/>
      <w:r/>
      <w:bookmarkEnd w:id="151"/>
      <w:r/>
      <w:bookmarkEnd w:id="152"/>
      <w:r>
        <w:rPr>
          <w:rFonts w:hint="eastAsia" w:ascii="宋体" w:hAnsi="宋体" w:cs="宋体"/>
          <w:highlight w:val="none"/>
        </w:rPr>
        <w:t xml:space="preserve">定标</w:t>
      </w:r>
      <w:bookmarkEnd w:id="153"/>
      <w:r/>
      <w:bookmarkEnd w:id="154"/>
      <w:r/>
      <w:bookmarkEnd w:id="155"/>
      <w:r/>
      <w:bookmarkEnd w:id="156"/>
      <w:r/>
      <w:bookmarkEnd w:id="157"/>
      <w:r/>
      <w:bookmarkEnd w:id="158"/>
      <w:r/>
      <w:bookmarkEnd w:id="159"/>
      <w:r/>
      <w:r/>
    </w:p>
    <w:p>
      <w:pPr>
        <w:ind w:firstLine="480"/>
        <w:jc w:val="left"/>
        <w:keepLines/>
        <w:keepNext/>
        <w:spacing w:line="440" w:lineRule="exact"/>
        <w:rPr>
          <w:rFonts w:hint="eastAsia" w:ascii="宋体" w:hAnsi="宋体" w:cs="宋体"/>
          <w:sz w:val="24"/>
          <w:szCs w:val="24"/>
          <w:highlight w:val="none"/>
        </w:rPr>
        <w:outlineLvl w:val="2"/>
      </w:pPr>
      <w:r/>
      <w:bookmarkStart w:id="160" w:name="_Toc513029238"/>
      <w:r/>
      <w:bookmarkStart w:id="161" w:name="_Toc20823310"/>
      <w:r/>
      <w:bookmarkStart w:id="162" w:name="_Toc16938554"/>
      <w:r>
        <w:rPr>
          <w:rFonts w:hint="eastAsia" w:ascii="宋体" w:hAnsi="宋体" w:cs="宋体"/>
          <w:sz w:val="24"/>
          <w:szCs w:val="24"/>
          <w:highlight w:val="none"/>
        </w:rPr>
        <w:t xml:space="preserve">28、</w:t>
      </w:r>
      <w:bookmarkEnd w:id="160"/>
      <w:r>
        <w:rPr>
          <w:rFonts w:hint="eastAsia" w:ascii="宋体" w:hAnsi="宋体" w:cs="宋体"/>
          <w:sz w:val="24"/>
          <w:szCs w:val="24"/>
          <w:highlight w:val="none"/>
        </w:rPr>
        <w:t xml:space="preserve">确定</w:t>
      </w:r>
      <w:bookmarkEnd w:id="161"/>
      <w:r/>
      <w:bookmarkEnd w:id="162"/>
      <w:r>
        <w:rPr>
          <w:rFonts w:hint="eastAsia" w:ascii="宋体" w:hAnsi="宋体" w:cs="宋体"/>
          <w:sz w:val="24"/>
          <w:szCs w:val="24"/>
          <w:highlight w:val="none"/>
        </w:rPr>
        <w:t xml:space="preserve">中标单位</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28.1 评委会根据本招标文件规定评标办法与评标标准向采购人推荐出1名中标候选人。</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28.2 中标候选人依据得分由高到低进行排名。采购人应根据评委会推荐的中标候选人确定中标人。依据财政部94号令第十六条第（二）项规定，如果中标人的中标资格因故被取消的，新的中标人按相关规定确定。</w:t>
      </w:r>
      <w:bookmarkEnd w:id="148"/>
      <w:r/>
      <w:bookmarkStart w:id="163" w:name="EBfa38c9fe4db84c47a946c1558a3ddb8f"/>
      <w:r/>
      <w:bookmarkEnd w:id="163"/>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28.3 自中标人确定之日起2个工作日内，中标结果将在省级以上财政部门指定的媒体上进行公告，公告期限为1个工作日。</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28.4 若有充分证据证明，中标人出现下列情况之一的，一经查实，中标无效：</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（1）提供虚假材料谋取中标的；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（2）采取不正当手段诋毁、排挤其他供应商的；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（3）与采购人、其他供应商或者采购代理机构恶意串通的；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（4）向采购人、采购代理机构行贿或者提供其他不正当利益的；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（5）在招标采购过程中与采购人进行协商谈判的；</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（6）向评标委员会行贿或者提供其他不正当利益。</w:t>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29、询问和质疑</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29.1 询问形式</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29.1.1 供应商对政府采购活动事项有疑问的，可以联系采购人或诺德招投标咨询服务（苏州）有限公司。</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29.1.2 采购人或诺德招投标咨询服务（苏州）有限公司将在3个工作日内作出答复，答复的内容不涉及商业秘密。</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29.2 质疑形式</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29.2.1供应商认为采购文件、采购过程和中标结果使自己的合法权益受到损害的，可以在知道或者应当知道其权益受到损害之日起七个工作日内，以书面形式提出质疑（涉及采购方式、采购需求、供应商资格条件、评标方法和评标标准、合同文本，向采购单位提出；涉及采购程序问题的，向诺德招投标咨询服务（苏州）有限公司提出）。非书面形式、七个工作日之外提交的质疑将不予受理。</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29.2.2质疑必须按《政府采购法》、《政府采购法实施条例》及财政部94号令的相关规定提交，未按上述要求提交的质疑函诺德招投标咨询服务（苏州）有限公司有权不予受理。</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29.2.3质疑函应当包括下列内容：</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（1）供应商的姓名或者名称、地址、邮编、联系人及联系电话；</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（2）质疑项目的名称、编号；</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（3）具体、明确的质疑事项和与质疑事项相关的请求；</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（4）事实依据；</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（5）必要的法律依据；</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（6）提出质疑的日期。</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29.2.4质疑函应当由法定代表人、主要负责人，或者其授权代表签字或者盖章，并加盖公章。匿名提交的质疑将不予受理。</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29.2.5质疑的送达方式</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29.2.5.1质疑函应采用邮寄送达或直接送达的方式递交，采用其他方式送达（含传真、电子邮件等）的，代理公司有权不予受理。</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29.3 特别提示</w:t>
      </w:r>
      <w:r/>
    </w:p>
    <w:p>
      <w:pPr>
        <w:pStyle w:val="1019"/>
        <w:ind w:firstLine="500"/>
        <w:spacing w:line="440" w:lineRule="exact"/>
        <w:rPr>
          <w:rFonts w:hint="eastAsia" w:ascii="宋体" w:hAnsi="宋体" w:eastAsia="宋体" w:cs="宋体"/>
          <w:highlight w:val="none"/>
        </w:rPr>
      </w:pPr>
      <w:r>
        <w:rPr>
          <w:rFonts w:hint="eastAsia" w:ascii="宋体" w:hAnsi="宋体" w:eastAsia="宋体" w:cs="宋体"/>
          <w:highlight w:val="none"/>
        </w:rPr>
        <w:t xml:space="preserve">29.3.1 根据财政部94号令第十一条规定，提出质疑的供应商应当是参与所质疑项目采购活动的供应商。</w:t>
      </w:r>
      <w:r>
        <w:rPr>
          <w:rStyle w:val="1020"/>
          <w:rFonts w:hint="eastAsia" w:ascii="宋体" w:hAnsi="宋体" w:cs="宋体"/>
          <w:b/>
          <w:bCs/>
          <w:spacing w:val="7"/>
          <w:sz w:val="24"/>
          <w:szCs w:val="24"/>
          <w:highlight w:val="none"/>
          <w:lang w:val="zh-CN"/>
        </w:rPr>
        <w:t xml:space="preserve">因此凡是对招标文件提出质疑的供应商，必须是依法获取招标文件，请将合法获取招标文件的证明材料（即《投标供应商确认函》）与质疑函一起递交，否则不予受理。</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29.3.2 供应商在法定质疑期内应一次性提出针对同一采购程序环节的质疑。</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29.3.3 供应商提出质疑必须有理、有据，不得恶意质疑或提交虚假质疑。否则，一经查实，采购人或诺德招投标咨询服务（苏州）有限公司有权依据政府采购的有关规定，报请政府采购监管部门对该投标人进行相应的行政处罚。</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29.4 其他</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29.4.1 采购人或诺德招投标咨询服务（苏州）有限公司将在收到供应商的质疑后七个工作日内作出答复，答复的内容不涉及商业秘密。</w:t>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30、中标通知书</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30.1 在中标结果确定后2个工作日内，诺德招投标咨询服务（苏州）有限公司向中标供应商发出中标通知书。</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748"/>
        <w:rPr>
          <w:rFonts w:hint="eastAsia" w:ascii="宋体" w:hAnsi="宋体" w:cs="宋体"/>
          <w:highlight w:val="none"/>
        </w:rPr>
      </w:pPr>
      <w:r/>
      <w:bookmarkStart w:id="164" w:name="_Toc14964"/>
      <w:r/>
      <w:bookmarkStart w:id="165" w:name="_Toc28442"/>
      <w:r>
        <w:rPr>
          <w:rFonts w:hint="eastAsia" w:ascii="宋体" w:hAnsi="宋体" w:cs="宋体"/>
          <w:highlight w:val="none"/>
        </w:rPr>
        <w:t xml:space="preserve">七、授予合同</w:t>
      </w:r>
      <w:bookmarkEnd w:id="164"/>
      <w:r/>
      <w:bookmarkEnd w:id="165"/>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31、签订合同</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31.l 中标人应按中标通知书规定的时间、地点,按照招标文件确定的事项与采购人签订政府采购合同，且原则上不得迟于中标通知书发出之日起十五日，否则给采购人造成损失的，中标人应承担赔偿责任。</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31.2 招标文件、中标人的投标文件及招标过程中有关澄清、承诺文件均应作为合同附件。</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31.3 签订合同后，中标人不得将货物及其他相关服务进行转包和分包。</w:t>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32、履约保证金</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32.1 </w:t>
      </w:r>
      <w:r>
        <w:rPr>
          <w:rFonts w:hint="eastAsia" w:ascii="宋体" w:hAnsi="宋体" w:cs="宋体"/>
          <w:color w:val="000000"/>
          <w:sz w:val="24"/>
          <w:highlight w:val="none"/>
        </w:rPr>
        <w:t xml:space="preserve">合同签订前，中标人向采购单位交付的履约保证金为</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32.2 履约保证金必须是人民币。履约保证金应当以支票、汇票、本票或者金融机构、担保机构出具的保函等非现金形式提交。</w:t>
      </w:r>
      <w:r/>
    </w:p>
    <w:p>
      <w:pPr>
        <w:ind w:firstLine="420"/>
        <w:spacing w:line="440" w:lineRule="exact"/>
        <w:rPr>
          <w:highlight w:val="none"/>
        </w:rPr>
      </w:pPr>
      <w:r>
        <w:rPr>
          <w:rFonts w:hint="eastAsia" w:ascii="宋体" w:hAnsi="宋体" w:cs="宋体"/>
          <w:sz w:val="24"/>
          <w:szCs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33、货物和服务的追加、减少和添购。</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33.1 政府采购合同履行中，采购人需追加与合同标的相同的货物和服务的，在不改变合同其他条款的前提下，可以与中标人协商签订补充合同，但所有补充合同的采购金额不超过原合同金额10%。</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33.2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jc w:val="left"/>
        <w:keepLines/>
        <w:keepNext/>
        <w:spacing w:line="44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34、监督</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34.1 政府有关监督部门将对投标全过程进行监督。</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pStyle w:val="747"/>
        <w:spacing w:before="120" w:after="120"/>
        <w:rPr>
          <w:rFonts w:hint="eastAsia" w:ascii="宋体" w:cs="宋体"/>
          <w:highlight w:val="none"/>
        </w:rPr>
        <w:pBdr>
          <w:top w:val="none" w:color="000000" w:sz="0" w:space="0"/>
          <w:left w:val="none" w:color="000000" w:sz="0" w:space="0"/>
          <w:bottom w:val="none" w:color="000000" w:sz="0" w:space="0"/>
          <w:right w:val="none" w:color="000000" w:sz="0" w:space="0"/>
        </w:pBdr>
      </w:pPr>
      <w:r/>
      <w:bookmarkStart w:id="166" w:name="_Toc11597"/>
      <w:r>
        <w:rPr>
          <w:rFonts w:hint="eastAsia" w:ascii="宋体" w:cs="宋体"/>
          <w:color w:val="000000"/>
          <w:highlight w:val="none"/>
        </w:rPr>
        <w:t xml:space="preserve">第三章 合同条款及格式</w:t>
      </w:r>
      <w:bookmarkEnd w:id="166"/>
      <w:r/>
      <w:r/>
    </w:p>
    <w:p>
      <w:pPr>
        <w:ind w:firstLine="48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以下为中标（成交）后签订本项目合同的通用条款，中标(成交)投标人不得提出实质性的修改。</w:t>
      </w:r>
      <w:r/>
    </w:p>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t xml:space="preserve">张家港市政府采购合同</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甲方（买方）：</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乙方（卖方）：</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甲、乙双方根据诺德招投标咨询服务（苏州）有限公司</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项目公开招标的结果，签署本合同。</w:t>
      </w:r>
      <w:r/>
    </w:p>
    <w:p>
      <w:pPr>
        <w:ind w:left="118" w:firstLine="482"/>
        <w:spacing w:before="125"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一、服务内容</w:t>
      </w:r>
      <w:r/>
    </w:p>
    <w:tbl>
      <w:tblPr>
        <w:tblStyle w:val="78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5"/>
        <w:gridCol w:w="3375"/>
        <w:gridCol w:w="2820"/>
      </w:tblGrid>
      <w:tr>
        <w:trPr>
          <w:jc w:val="center"/>
          <w:trHeight w:val="5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before="98"/>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val="false"/>
          </w:tcPr>
          <w:p>
            <w:pPr>
              <w:jc w:val="center"/>
              <w:spacing w:before="98"/>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0" w:type="dxa"/>
            <w:vAlign w:val="center"/>
            <w:textDirection w:val="lrTb"/>
            <w:noWrap w:val="false"/>
          </w:tcPr>
          <w:p>
            <w:pPr>
              <w:jc w:val="center"/>
              <w:spacing w:before="98"/>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总价（元）</w:t>
            </w:r>
            <w:r/>
          </w:p>
        </w:tc>
      </w:tr>
      <w:tr>
        <w:trPr>
          <w:jc w:val="center"/>
          <w:trHeight w:val="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before="98"/>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val="false"/>
          </w:tcPr>
          <w:p>
            <w:pPr>
              <w:jc w:val="center"/>
              <w:spacing w:before="98"/>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0" w:type="dxa"/>
            <w:vAlign w:val="center"/>
            <w:textDirection w:val="lrTb"/>
            <w:noWrap w:val="false"/>
          </w:tcPr>
          <w:p>
            <w:pPr>
              <w:jc w:val="center"/>
              <w:spacing w:before="98"/>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r>
    </w:tbl>
    <w:p>
      <w:pPr>
        <w:ind w:firstLine="482"/>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二、合同金额</w:t>
      </w:r>
      <w:r/>
    </w:p>
    <w:p>
      <w:pPr>
        <w:ind w:firstLine="480"/>
        <w:jc w:val="left"/>
        <w:spacing w:before="98" w:line="44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2.1 本合同金额为（大写）：</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元整（</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元）人民币。</w:t>
      </w:r>
      <w:r/>
    </w:p>
    <w:p>
      <w:pPr>
        <w:ind w:firstLine="480"/>
        <w:spacing w:before="98"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同价格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三、履约保证金</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 合同签订前，乙方向甲方交纳人民币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元作为本合同的履约保证金。履约保证金应当以支票、汇票、本票或者金融机构、担保机构出具的保函等非现金形式提交。</w:t>
      </w:r>
      <w:r/>
    </w:p>
    <w:p>
      <w:pPr>
        <w:ind w:firstLine="482"/>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四、转包或分包</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4.1 本合同范围的服务，应由乙方直接提供，不得转让他人提供；</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 如有转包和分包行为，甲方有权给予终止合同。</w:t>
      </w:r>
      <w:r/>
    </w:p>
    <w:p>
      <w:pPr>
        <w:ind w:firstLine="482"/>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五、服务期限</w:t>
      </w:r>
      <w:r/>
    </w:p>
    <w:p>
      <w:pPr>
        <w:ind w:firstLine="480"/>
        <w:spacing w:before="98"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服务期限：</w:t>
      </w:r>
      <w:r>
        <w:rPr>
          <w:rFonts w:hint="eastAsia" w:ascii="宋体" w:hAnsi="宋体" w:cs="宋体"/>
          <w:color w:val="000000"/>
          <w:sz w:val="24"/>
          <w:highlight w:val="none"/>
          <w:u w:val="single"/>
        </w:rPr>
        <w:t xml:space="preserve">                            </w:t>
      </w:r>
      <w:r/>
    </w:p>
    <w:p>
      <w:pPr>
        <w:ind w:firstLine="482"/>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六、支付方式</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 结付程序：</w:t>
      </w:r>
      <w:r>
        <w:rPr>
          <w:rFonts w:hint="eastAsia" w:ascii="宋体" w:hAnsi="宋体" w:cs="宋体"/>
          <w:color w:val="000000"/>
          <w:sz w:val="24"/>
          <w:highlight w:val="none"/>
          <w:u w:val="single"/>
        </w:rPr>
        <w:t xml:space="preserve">                           </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 结付期限：</w:t>
      </w:r>
      <w:r>
        <w:rPr>
          <w:rFonts w:hint="eastAsia" w:ascii="宋体" w:hAnsi="宋体" w:cs="宋体"/>
          <w:color w:val="000000"/>
          <w:sz w:val="24"/>
          <w:highlight w:val="none"/>
          <w:u w:val="single"/>
        </w:rPr>
        <w:t xml:space="preserve">                           </w:t>
      </w:r>
      <w:r/>
    </w:p>
    <w:p>
      <w:pPr>
        <w:ind w:firstLine="480"/>
        <w:spacing w:before="98" w:line="440" w:lineRule="exact"/>
        <w:rPr>
          <w:rFonts w:hint="eastAsia" w:ascii="宋体" w:hAnsi="宋体" w:cs="宋体"/>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6.3 乙方收款账户：</w:t>
      </w:r>
      <w:r>
        <w:rPr>
          <w:rFonts w:hint="eastAsia" w:ascii="宋体" w:hAnsi="宋体" w:cs="宋体"/>
          <w:color w:val="000000"/>
          <w:sz w:val="24"/>
          <w:highlight w:val="none"/>
          <w:u w:val="single"/>
        </w:rPr>
        <w:t xml:space="preserve">                       </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6.4 甲方合同款支付方式：</w:t>
      </w:r>
      <w:r>
        <w:rPr>
          <w:rFonts w:hint="eastAsia" w:ascii="宋体" w:hAnsi="宋体" w:cs="宋体"/>
          <w:color w:val="000000"/>
          <w:sz w:val="24"/>
          <w:highlight w:val="none"/>
          <w:u w:val="single"/>
        </w:rPr>
        <w:t xml:space="preserve">转账</w:t>
      </w:r>
      <w:r/>
    </w:p>
    <w:p>
      <w:pPr>
        <w:ind w:firstLine="482"/>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七、税</w:t>
      </w:r>
      <w:r/>
    </w:p>
    <w:p>
      <w:pPr>
        <w:ind w:firstLine="480"/>
        <w:spacing w:before="98"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7.1 本合同执行中相关的一切税费均由乙方负担。</w:t>
      </w:r>
      <w:r/>
    </w:p>
    <w:p>
      <w:pPr>
        <w:ind w:firstLine="482"/>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八、服务事项</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按招标内容要求以及乙方的承诺项目阐述。</w:t>
      </w:r>
      <w:r/>
    </w:p>
    <w:p>
      <w:pPr>
        <w:ind w:firstLine="482"/>
        <w:spacing w:before="98" w:line="44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九、双方权利义务</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9.1 甲方的权利和义务</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（1）有权随时对乙方的项目执行情况进行监督检查，包括但不限于普查进度、治理质量、施工安全、文明施工等，并可要求乙方提供必要的资料和说明。</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（2）有权对乙方提交的各类实施方案、工作计划、技术报告、验收申请等文件进行审核，并提出修改意见，确认后方可实施。</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（3）有权组织项目验收。对于未通过验收、验收不合格或乙方未按合同约定履行义务的部分，有权拒绝支付相应款项，并要求乙方承担违约责任。</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（4）应向乙方提供与本项目相关的堤防基础资料、图纸、历史记录等，并对资料的准确性负责。</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（5）应协助乙方协调与堤防管理单位、相关乡镇及部门的关系，为乙方顺利进场施工提供必要的便利条件。</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（6）甲方有权对中标后再转包或分包的乙方终止承包合同。</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（7）甲方有权在服务期内根据实际情况提出修改考核细则，并经与乙方协商确认后，按新的考核细则执行考核。</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9.2 乙方的权利和义务</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必须严格按照合同约定的工作内容、技术标准、时间节点和质量要求，完成全部普查、治理及安全评估工作，并对最终成果的质量负责。</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应自觉接受甲方的监督检查，对甲方提出的合理整改要求，必须及时落实。</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必须组建具备相应资格证书的专业项目团队，并配备性能完好、数量充足的施工设备，以确保项目顺利实施。</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（4）负责其所有在现场人员的安全，配置完备的安全防护设施，制定安全操作规程，承担因乙方原因造成的一切安全事故责任。</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（5）必须采取有效措施控制施工扬尘、噪音、废弃物等，保护堤防沿线环境。施工结束后做到工完场清，恢复现场原貌。</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（6）对项目实施过程中接触到的所有甲方资料以及形成的涉密成果，负有严格的保密责任，不得向任何第三方泄露。</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（7）应建立完善的内控质量检查制度，对普查、治理、评估等各环节进行全过程质量控制，并保留完整、真实、可追溯的记录台账。</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（8）在实施过程中发现意外隐患或问题时，应立即采取应急措施，并及时向甲方书面报告。</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Style w:val="1022"/>
          <w:rFonts w:hint="eastAsia" w:ascii="宋体" w:hAnsi="宋体" w:cs="宋体"/>
          <w:color w:val="000000" w:themeColor="text1"/>
          <w:sz w:val="24"/>
          <w:highlight w:val="none"/>
          <w14:textFill>
            <w14:solidFill>
              <w14:schemeClr w14:val="tx1"/>
            </w14:solidFill>
          </w14:textFill>
        </w:rPr>
        <w:t xml:space="preserve">（9）本合同终止时，乙方须向甲方移交项目管理全部档案资料。</w:t>
      </w:r>
      <w:r/>
    </w:p>
    <w:p>
      <w:pPr>
        <w:ind w:firstLine="482"/>
        <w:spacing w:before="98" w:line="44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十、服务质量</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10.1 乙方提供的服务应达到投标文件所约定的目标及甲方制定的服务质量标准。对达标的理解有异议的，由双方共同认可的第三方予以评定，相关费用由乙方承担。</w:t>
      </w:r>
      <w:r/>
    </w:p>
    <w:p>
      <w:pPr>
        <w:ind w:firstLine="482"/>
        <w:spacing w:before="98" w:line="44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十一、验收</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11.1 乙方提供的服务应达到投标文件所约定的目标，以甲方书面认定的验收结果为准，乙方如对验收结果有异议的，可申请由双方共同认可的第三方进行复核。第三方评定结论仅作为参考，甲方保留最终验收决定权。</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11.2 甲方是验收责任主体，也可委托第三方验收。若乙方提供的服务未达到验收标准，甲方有权要求乙方在15日内完成整改，并承担由此产生的所有费用。若仍不合格，甲方有权解除合同并要求乙方支付相当于合同总金额30%的违约金。甲方有权因服务不达标拒绝验收、要求重做、扣减费用或解除合同，乙方不得提出异议。</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11.3 </w:t>
      </w:r>
      <w:bookmarkStart w:id="167" w:name="_Hlk195449684"/>
      <w:r>
        <w:rPr>
          <w:rFonts w:hint="eastAsia" w:ascii="宋体" w:hAnsi="宋体" w:cs="宋体"/>
          <w:bCs/>
          <w:color w:val="000000"/>
          <w:sz w:val="24"/>
          <w:highlight w:val="none"/>
        </w:rPr>
        <w:t xml:space="preserve">合同约定履约验收条件达到后，甲方5个工作日内启动验收，向乙方发出《政府采购履约验收通知单》，乙方也能主动联系甲方启动。</w:t>
      </w:r>
      <w:bookmarkEnd w:id="167"/>
      <w:r>
        <w:rPr>
          <w:rFonts w:hint="eastAsia" w:ascii="宋体" w:hAnsi="宋体" w:cs="宋体"/>
          <w:bCs/>
          <w:color w:val="000000"/>
          <w:sz w:val="24"/>
          <w:highlight w:val="none"/>
        </w:rPr>
        <w:t xml:space="preserve">验收通知发出后乙方应在3个工作日内提交完整验收资料。</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11.4 验收工作应在启动后5个自然日内完成。因乙方原因导致验收迟延的，每逾期一日按合同总金额0.1%承担违约金。</w:t>
      </w:r>
      <w:r/>
    </w:p>
    <w:p>
      <w:pPr>
        <w:ind w:firstLine="482"/>
        <w:spacing w:before="98" w:line="44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十二、违约责任</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12.1 甲方违反合同的约定，使乙方未完成规定管理目标，乙方有权要求甲方在一定期限内解决，逾期未解决的，乙方有权终止合同，造成乙方直接经济损失的，甲方给予乙方相应的经济赔偿。乙方对甲方的索赔仅限于直接经济损失，且需充分举证，不得主张间接损失、利润损失等。</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12.2 甲方对乙方进行考核，按考核结果给付费用（如有）。甲方逾期办理合同款支付的，应当支付逾期利息，</w:t>
      </w:r>
      <w:r>
        <w:rPr>
          <w:rStyle w:val="1022"/>
          <w:rFonts w:hint="eastAsia" w:ascii="宋体" w:hAnsi="宋体" w:cs="宋体"/>
          <w:color w:val="000000" w:themeColor="text1"/>
          <w:sz w:val="24"/>
          <w:highlight w:val="none"/>
          <w14:textFill>
            <w14:solidFill>
              <w14:schemeClr w14:val="tx1"/>
            </w14:solidFill>
          </w14:textFill>
        </w:rPr>
        <w:t xml:space="preserve">且逾期利息的利率不得低于合同订立时1年期贷款市场报价利率</w:t>
      </w:r>
      <w:r>
        <w:rPr>
          <w:rFonts w:hint="eastAsia" w:ascii="宋体" w:hAnsi="宋体" w:cs="宋体"/>
          <w:bCs/>
          <w:color w:val="000000"/>
          <w:sz w:val="24"/>
          <w:highlight w:val="none"/>
        </w:rPr>
        <w:t xml:space="preserve">。</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12.3 乙方违反合同的约定，未能达到本合同约定的服务目标，甲方有权要求乙方限期整改，逾期未整改的或者经限期2次整改后仍无法通过甲方书面验收确认达标的，甲方有权单方解除本合同，不予支付剩余费用并要求乙方退回已付款项，同时要求乙方承担违约责任，违约金为合同总金额的20%。若因服务未达到验收标准而解除合同，违约金标准适用第11.2条。如因此造成甲方经济损失的，乙方应给予甲方相应的赔偿。</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12.4 乙方逾期完成本合同约定的服务内容的，甲方有权要求乙方限期完成，若乙方仍然未能在甲方限定的期间完成的，每逾期一天，应该按照本合同总金额的万分之四承担违约金，逾期超过30天的，甲方有权单方解除本合同，不予支付剩余费用并要求乙方返还所有已支付的费用。</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12.5 本合同生效后，甲乙双方任何一方无本合同明确约定的解除事由而要求终止本合同的，除双方签订补充协议外，责任方须按本合同及其补充协议的有关条款之规定承担违约责任，并应向对方支付合同金额10%的违约金。若甲方因政策调整要求终止的，乙方应在收到通知后10个工作日内无条件配合解除且不得主张违约金。</w:t>
      </w:r>
      <w:r/>
    </w:p>
    <w:p>
      <w:pPr>
        <w:ind w:firstLine="482"/>
        <w:spacing w:before="98" w:line="44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十三、不可抗力事件处理</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13.1 在合同有效期内，任何一方因不可抗力事件导致不能履行合同，则合同履行期可延长，其延长期与不可抗力影响期相同。</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13.2 不可抗力事件发生后，应立即通知对方，并寄送有关权威机构出具的证明。</w:t>
      </w:r>
      <w:r/>
    </w:p>
    <w:p>
      <w:pPr>
        <w:ind w:firstLine="480"/>
        <w:spacing w:before="98"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13.3 不可抗力事件延续120天以上，双方应通过友好协商，确定是否继续履行合同。</w:t>
      </w:r>
      <w:r/>
    </w:p>
    <w:p>
      <w:pPr>
        <w:ind w:firstLine="482"/>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十四、诉讼</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14.1 双方在执行合同中所发生的一切争议，应通过协商解决。如协商不成，可向合同签订地法院起诉，合同签订地在此约定为张家港市。</w:t>
      </w:r>
      <w:r/>
    </w:p>
    <w:p>
      <w:pPr>
        <w:ind w:firstLine="482"/>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十五、合同其他文件</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15.1 下列文件为本合同不可分割部份，与本合同具有同等效力。</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(1)中标通知书；</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(2)乙方中标的投标书；</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(3)招标文件；</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(4)乙方在招投标过程中所作的其他承诺、声明、书面澄清等。</w:t>
      </w:r>
      <w:r/>
    </w:p>
    <w:p>
      <w:pPr>
        <w:ind w:firstLine="482"/>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十六、合同生效及其它</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16.1 合同经双方法定代表人（或负责人）或授权委托代表人签字并加盖单位公章后生效,生效后至张家港市政府采购管理中心备案。</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16.2 本合同未尽事宜，遵照《民法典》合同编有关条文执行。</w:t>
      </w:r>
      <w:r/>
    </w:p>
    <w:p>
      <w:pPr>
        <w:ind w:firstLine="480"/>
        <w:spacing w:before="98" w:line="44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16.3 本合同正本一式陆份，具有同等法律效力，甲方贰份、乙方贰份、张家港市政府采购管理中心壹份、诺德招投标咨询服务（苏州）有限公司壹份。</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甲方：</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法定代表人或授权代表：</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乙方：</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法定代表人（或负责人）或授权代表：</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招标代理机构：</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w:t>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left="118" w:firstLine="480"/>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备案方：张家港市政府采购管理中心</w:t>
      </w:r>
      <w:r/>
    </w:p>
    <w:p>
      <w:pPr>
        <w:ind w:left="118" w:firstLine="480"/>
        <w:spacing w:before="98" w:line="85"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left="118" w:firstLine="480"/>
        <w:spacing w:before="98" w:line="85"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right"/>
        <w:spacing w:before="98"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签订日期：      年       月     日</w:t>
      </w:r>
      <w:r/>
    </w:p>
    <w:p>
      <w:pPr>
        <w:ind w:left="118" w:firstLine="480"/>
        <w:spacing w:before="98" w:line="85"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sectPr>
          <w:footerReference w:type="default" r:id="rId9"/>
          <w:footerReference w:type="even" r:id="rId10"/>
          <w:footerReference w:type="first" r:id="rId11"/>
          <w:footnotePr/>
          <w:endnotePr/>
          <w:type w:val="nextPage"/>
          <w:pgSz w:w="11906" w:h="16838" w:orient="portrait"/>
          <w:pgMar w:top="1418" w:right="1418" w:bottom="1418" w:left="1418" w:header="851" w:footer="850" w:gutter="0"/>
          <w:cols w:num="1" w:sep="0" w:space="720" w:equalWidth="1"/>
          <w:docGrid w:linePitch="360"/>
          <w:titlePg/>
        </w:sectPr>
      </w:pPr>
      <w:r>
        <w:rPr>
          <w:rFonts w:hint="eastAsia" w:ascii="宋体" w:hAnsi="宋体" w:cs="宋体"/>
          <w:highlight w:val="none"/>
        </w:rPr>
      </w:r>
      <w:r/>
    </w:p>
    <w:p>
      <w:pPr>
        <w:pStyle w:val="747"/>
        <w:spacing w:before="120" w:after="120"/>
        <w:rPr>
          <w:rFonts w:hint="eastAsia" w:ascii="宋体" w:cs="宋体"/>
          <w:highlight w:val="none"/>
        </w:rPr>
        <w:pBdr>
          <w:top w:val="none" w:color="000000" w:sz="0" w:space="0"/>
          <w:left w:val="none" w:color="000000" w:sz="0" w:space="0"/>
          <w:bottom w:val="none" w:color="000000" w:sz="0" w:space="0"/>
          <w:right w:val="none" w:color="000000" w:sz="0" w:space="0"/>
        </w:pBdr>
      </w:pPr>
      <w:r/>
      <w:bookmarkStart w:id="168" w:name="_Toc28497"/>
      <w:r>
        <w:rPr>
          <w:rFonts w:hint="eastAsia" w:ascii="宋体" w:cs="宋体"/>
          <w:color w:val="000000"/>
          <w:highlight w:val="none"/>
        </w:rPr>
        <w:t xml:space="preserve">第四章 项目需求</w:t>
      </w:r>
      <w:bookmarkEnd w:id="168"/>
      <w:r/>
      <w:r/>
    </w:p>
    <w:p>
      <w:pPr>
        <w:spacing w:line="85"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一、清单</w:t>
      </w:r>
      <w:r/>
    </w:p>
    <w:p>
      <w:pPr>
        <w:ind w:firstLine="500"/>
        <w:spacing w:line="43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1.清单</w:t>
      </w:r>
      <w:r/>
    </w:p>
    <w:tbl>
      <w:tblPr>
        <w:tblStyle w:val="757"/>
        <w:tblW w:w="50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3"/>
        <w:gridCol w:w="1836"/>
        <w:gridCol w:w="772"/>
        <w:gridCol w:w="500"/>
        <w:gridCol w:w="527"/>
        <w:gridCol w:w="3652"/>
        <w:gridCol w:w="750"/>
        <w:gridCol w:w="91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dxa"/>
            <w:vAlign w:val="center"/>
            <w:textDirection w:val="lrTb"/>
            <w:noWrap w:val="false"/>
          </w:tcPr>
          <w:p>
            <w:pPr>
              <w:pStyle w:val="1029"/>
              <w:jc w:val="center"/>
              <w:rPr>
                <w:rFonts w:hint="eastAsia" w:ascii="宋体" w:hAnsi="宋体" w:eastAsia="宋体" w:cs="宋体"/>
                <w:highlight w:val="none"/>
              </w:rPr>
            </w:pPr>
            <w:r>
              <w:rPr>
                <w:rFonts w:ascii="宋体" w:hAnsi="宋体" w:eastAsia="宋体" w:cs="宋体"/>
                <w:color w:val="000000"/>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6" w:type="dxa"/>
            <w:vAlign w:val="center"/>
            <w:textDirection w:val="lrTb"/>
            <w:noWrap w:val="false"/>
          </w:tcPr>
          <w:p>
            <w:pPr>
              <w:pStyle w:val="1029"/>
              <w:jc w:val="center"/>
              <w:rPr>
                <w:rFonts w:hint="eastAsia" w:ascii="宋体" w:hAnsi="宋体" w:eastAsia="宋体" w:cs="宋体"/>
                <w:highlight w:val="none"/>
              </w:rPr>
            </w:pPr>
            <w:r>
              <w:rPr>
                <w:rFonts w:ascii="宋体" w:hAnsi="宋体" w:eastAsia="宋体" w:cs="宋体"/>
                <w:color w:val="000000"/>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2" w:type="dxa"/>
            <w:vAlign w:val="center"/>
            <w:textDirection w:val="lrTb"/>
            <w:noWrap w:val="false"/>
          </w:tcPr>
          <w:p>
            <w:pPr>
              <w:pStyle w:val="1029"/>
              <w:jc w:val="center"/>
              <w:rPr>
                <w:rFonts w:hint="eastAsia" w:ascii="宋体" w:hAnsi="宋体" w:eastAsia="宋体" w:cs="宋体"/>
                <w:highlight w:val="none"/>
              </w:rPr>
            </w:pPr>
            <w:r>
              <w:rPr>
                <w:rFonts w:ascii="宋体" w:hAnsi="宋体" w:eastAsia="宋体" w:cs="宋体"/>
                <w:color w:val="000000"/>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dxa"/>
            <w:vAlign w:val="center"/>
            <w:textDirection w:val="lrTb"/>
            <w:noWrap w:val="false"/>
          </w:tcPr>
          <w:p>
            <w:pPr>
              <w:pStyle w:val="1029"/>
              <w:jc w:val="center"/>
              <w:rPr>
                <w:rFonts w:hint="eastAsia" w:ascii="宋体" w:hAnsi="宋体" w:eastAsia="宋体" w:cs="宋体"/>
                <w:highlight w:val="none"/>
              </w:rPr>
            </w:pPr>
            <w:r>
              <w:rPr>
                <w:rFonts w:ascii="宋体" w:hAnsi="宋体" w:eastAsia="宋体" w:cs="宋体"/>
                <w:color w:val="000000"/>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dxa"/>
            <w:vAlign w:val="center"/>
            <w:textDirection w:val="lrTb"/>
            <w:noWrap w:val="false"/>
          </w:tcPr>
          <w:p>
            <w:pPr>
              <w:pStyle w:val="1029"/>
              <w:jc w:val="center"/>
              <w:rPr>
                <w:rFonts w:hint="eastAsia" w:ascii="宋体" w:hAnsi="宋体" w:eastAsia="宋体" w:cs="宋体"/>
                <w:highlight w:val="none"/>
              </w:rPr>
            </w:pPr>
            <w:r>
              <w:rPr>
                <w:rFonts w:ascii="宋体" w:hAnsi="宋体" w:eastAsia="宋体" w:cs="宋体"/>
                <w:color w:val="000000"/>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52" w:type="dxa"/>
            <w:vAlign w:val="center"/>
            <w:textDirection w:val="lrTb"/>
            <w:noWrap w:val="false"/>
          </w:tcPr>
          <w:p>
            <w:pPr>
              <w:pStyle w:val="1029"/>
              <w:jc w:val="center"/>
              <w:rPr>
                <w:rFonts w:hint="eastAsia" w:ascii="宋体" w:hAnsi="宋体" w:eastAsia="宋体" w:cs="宋体"/>
                <w:highlight w:val="none"/>
              </w:rPr>
            </w:pPr>
            <w:r>
              <w:rPr>
                <w:rFonts w:ascii="宋体" w:hAnsi="宋体" w:eastAsia="宋体" w:cs="宋体"/>
                <w:color w:val="000000"/>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0" w:type="dxa"/>
            <w:vAlign w:val="center"/>
            <w:textDirection w:val="lrTb"/>
            <w:noWrap w:val="false"/>
          </w:tcPr>
          <w:p>
            <w:pPr>
              <w:pStyle w:val="1029"/>
              <w:jc w:val="center"/>
              <w:rPr>
                <w:rFonts w:hint="eastAsia" w:ascii="宋体" w:hAnsi="宋体" w:eastAsia="宋体" w:cs="宋体"/>
                <w:color w:val="000000"/>
                <w:highlight w:val="none"/>
              </w:rPr>
            </w:pPr>
            <w:r>
              <w:rPr>
                <w:rFonts w:eastAsia="宋体"/>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4" w:type="dxa"/>
            <w:vAlign w:val="center"/>
            <w:textDirection w:val="lrTb"/>
            <w:noWrap w:val="false"/>
          </w:tcPr>
          <w:p>
            <w:pPr>
              <w:pStyle w:val="1029"/>
              <w:jc w:val="center"/>
              <w:rPr>
                <w:rFonts w:hint="eastAsia" w:ascii="宋体" w:hAnsi="宋体" w:eastAsia="宋体" w:cs="宋体"/>
                <w:color w:val="000000"/>
                <w:highlight w:val="none"/>
              </w:rPr>
            </w:pPr>
            <w:r>
              <w:rPr>
                <w:rFonts w:eastAsia="宋体"/>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dxa"/>
            <w:vAlign w:val="center"/>
            <w:textDirection w:val="lrTb"/>
            <w:noWrap w:val="false"/>
          </w:tcPr>
          <w:p>
            <w:pPr>
              <w:pStyle w:val="1029"/>
              <w:jc w:val="center"/>
              <w:rPr>
                <w:rFonts w:hint="eastAsia" w:ascii="宋体" w:hAnsi="宋体" w:eastAsia="宋体" w:cs="宋体"/>
                <w:highlight w:val="none"/>
              </w:rPr>
            </w:pPr>
            <w:r>
              <w:rPr>
                <w:rFonts w:ascii="宋体" w:hAnsi="宋体" w:eastAsia="宋体" w:cs="宋体"/>
                <w:color w:val="000000"/>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6" w:type="dxa"/>
            <w:vAlign w:val="center"/>
            <w:textDirection w:val="lrTb"/>
            <w:noWrap w:val="false"/>
          </w:tcPr>
          <w:p>
            <w:pPr>
              <w:pStyle w:val="1029"/>
              <w:jc w:val="center"/>
              <w:rPr>
                <w:rFonts w:hint="eastAsia" w:ascii="宋体" w:hAnsi="宋体" w:eastAsia="宋体" w:cs="宋体"/>
                <w:highlight w:val="none"/>
                <w:lang w:eastAsia="zh-CN"/>
              </w:rPr>
            </w:pPr>
            <w:r>
              <w:rPr>
                <w:rFonts w:hint="eastAsia" w:ascii="宋体" w:hAnsi="宋体" w:eastAsia="宋体" w:cs="宋体"/>
                <w:color w:val="000000"/>
                <w:highlight w:val="none"/>
                <w:lang w:eastAsia="zh-CN"/>
              </w:rPr>
              <w:t xml:space="preserve">2025年度白蚁等害堤动物普查治理项目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2" w:type="dxa"/>
            <w:vAlign w:val="center"/>
            <w:textDirection w:val="lrTb"/>
            <w:noWrap w:val="false"/>
          </w:tcPr>
          <w:p>
            <w:pPr>
              <w:pStyle w:val="1029"/>
              <w:jc w:val="center"/>
              <w:rPr>
                <w:rFonts w:hint="eastAsia" w:ascii="宋体" w:hAnsi="宋体" w:eastAsia="宋体" w:cs="宋体"/>
                <w:highlight w:val="none"/>
              </w:rPr>
            </w:pPr>
            <w:r>
              <w:rPr>
                <w:rFonts w:ascii="宋体" w:hAnsi="宋体" w:eastAsia="宋体" w:cs="宋体"/>
                <w:color w:val="000000"/>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dxa"/>
            <w:vAlign w:val="center"/>
            <w:textDirection w:val="lrTb"/>
            <w:noWrap w:val="false"/>
          </w:tcPr>
          <w:p>
            <w:pPr>
              <w:pStyle w:val="1029"/>
              <w:jc w:val="center"/>
              <w:rPr>
                <w:rFonts w:hint="eastAsia" w:ascii="宋体" w:hAnsi="宋体" w:eastAsia="宋体" w:cs="宋体"/>
                <w:highlight w:val="none"/>
              </w:rPr>
            </w:pPr>
            <w:r>
              <w:rPr>
                <w:rFonts w:ascii="宋体" w:hAnsi="宋体" w:eastAsia="宋体" w:cs="宋体"/>
                <w:color w:val="000000"/>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dxa"/>
            <w:vAlign w:val="center"/>
            <w:textDirection w:val="lrTb"/>
            <w:noWrap w:val="false"/>
          </w:tcPr>
          <w:p>
            <w:pPr>
              <w:pStyle w:val="1029"/>
              <w:rPr>
                <w:rFonts w:hint="eastAsia" w:ascii="宋体" w:hAnsi="宋体" w:eastAsia="宋体" w:cs="宋体"/>
                <w:highlight w:val="none"/>
              </w:rPr>
            </w:pPr>
            <w:r>
              <w:rPr>
                <w:rFonts w:ascii="宋体" w:hAnsi="宋体" w:eastAsia="宋体" w:cs="宋体"/>
                <w:color w:val="000000"/>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52" w:type="dxa"/>
            <w:vAlign w:val="center"/>
            <w:textDirection w:val="lrTb"/>
            <w:noWrap w:val="false"/>
          </w:tcPr>
          <w:p>
            <w:pPr>
              <w:pStyle w:val="1029"/>
              <w:jc w:val="center"/>
              <w:rPr>
                <w:rFonts w:hint="eastAsia" w:ascii="宋体" w:hAnsi="宋体" w:eastAsia="宋体" w:cs="宋体"/>
                <w:highlight w:val="none"/>
              </w:rPr>
            </w:pPr>
            <w:r>
              <w:rPr>
                <w:rFonts w:ascii="宋体" w:hAnsi="宋体" w:eastAsia="宋体" w:cs="宋体"/>
                <w:color w:val="000000"/>
                <w:highlight w: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0" w:type="dxa"/>
            <w:vAlign w:val="center"/>
            <w:textDirection w:val="lrTb"/>
            <w:noWrap w:val="false"/>
          </w:tcPr>
          <w:p>
            <w:pPr>
              <w:pStyle w:val="1034"/>
              <w:jc w:val="center"/>
              <w:rPr>
                <w:rFonts w:hint="eastAsia" w:ascii="宋体" w:hAnsi="宋体" w:eastAsia="宋体" w:cs="宋体"/>
                <w:color w:val="000000"/>
                <w:highlight w:val="none"/>
              </w:rPr>
            </w:pPr>
            <w:r>
              <w:rPr>
                <w:rFonts w:eastAsia="宋体"/>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4" w:type="dxa"/>
            <w:vAlign w:val="center"/>
            <w:textDirection w:val="lrTb"/>
            <w:noWrap w:val="false"/>
          </w:tcPr>
          <w:p>
            <w:pPr>
              <w:pStyle w:val="1034"/>
              <w:jc w:val="center"/>
              <w:rPr>
                <w:rFonts w:hint="eastAsia" w:ascii="宋体" w:hAnsi="宋体" w:eastAsia="宋体" w:cs="宋体"/>
                <w:color w:val="000000"/>
                <w:highlight w:val="none"/>
              </w:rPr>
            </w:pPr>
            <w:r>
              <w:rPr>
                <w:rFonts w:eastAsia="宋体"/>
                <w:highlight w:val="none"/>
              </w:rPr>
              <w:t xml:space="preserve">服务类</w:t>
            </w:r>
            <w:r/>
          </w:p>
        </w:tc>
      </w:tr>
    </w:tbl>
    <w:p>
      <w:pPr>
        <w:ind w:firstLine="48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2.核心产品清单</w:t>
      </w:r>
      <w:r/>
    </w:p>
    <w:p>
      <w:pPr>
        <w:ind w:firstLine="50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无</w:t>
      </w:r>
      <w:r/>
    </w:p>
    <w:p>
      <w:pPr>
        <w:ind w:firstLine="50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3、节能、环境标志产品清单(请提供国家确定的认证机构出具的、处于有效期之内的节能产品、环境标志产品认证证书（若证书有附件（附录）的，附件（附录）须随证书一起提供））</w:t>
      </w:r>
      <w:r/>
    </w:p>
    <w:p>
      <w:pPr>
        <w:ind w:firstLine="50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节能产品政府采购品目清单：</w:t>
      </w:r>
      <w:r/>
    </w:p>
    <w:p>
      <w:pPr>
        <w:ind w:firstLine="50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无</w:t>
      </w:r>
      <w:r/>
    </w:p>
    <w:p>
      <w:pPr>
        <w:ind w:firstLine="50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环境标志产品政府采购品目清单：</w:t>
      </w:r>
      <w:r/>
    </w:p>
    <w:p>
      <w:pPr>
        <w:ind w:firstLine="500"/>
        <w:spacing w:line="43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无</w:t>
      </w:r>
      <w:r/>
    </w:p>
    <w:p>
      <w:pPr>
        <w:ind w:firstLine="50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4．绿色采购其他政策</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人应提供符合标准要求的设备或服务。</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投标人提供产品及相关快递服务的包装应符合标准要求。</w:t>
      </w:r>
      <w:r/>
    </w:p>
    <w:p>
      <w:pPr>
        <w:spacing w:line="440" w:lineRule="exact"/>
        <w:rPr>
          <w:rFonts w:ascii="Times New Roman" w:hAnsi="Times New Roman"/>
          <w:b/>
          <w:sz w:val="28"/>
          <w:szCs w:val="28"/>
          <w:highlight w:val="none"/>
        </w:rPr>
      </w:pPr>
      <w:r>
        <w:rPr>
          <w:rFonts w:ascii="Times New Roman" w:hAnsi="Times New Roman"/>
          <w:b/>
          <w:sz w:val="28"/>
          <w:szCs w:val="28"/>
          <w:highlight w:val="none"/>
        </w:rPr>
      </w:r>
      <w:r/>
    </w:p>
    <w:p>
      <w:pPr>
        <w:spacing w:line="440" w:lineRule="exact"/>
        <w:rPr>
          <w:rFonts w:ascii="Times New Roman" w:hAnsi="Times New Roman"/>
          <w:b/>
          <w:sz w:val="28"/>
          <w:szCs w:val="28"/>
          <w:highlight w:val="none"/>
        </w:rPr>
      </w:pPr>
      <w:r>
        <w:rPr>
          <w:rFonts w:hint="eastAsia" w:ascii="Times New Roman" w:hAnsi="Times New Roman"/>
          <w:b/>
          <w:sz w:val="28"/>
          <w:szCs w:val="28"/>
          <w:highlight w:val="none"/>
        </w:rPr>
        <w:t xml:space="preserve">二、</w:t>
      </w:r>
      <w:r>
        <w:rPr>
          <w:rFonts w:ascii="Times New Roman" w:hAnsi="Times New Roman"/>
          <w:b/>
          <w:sz w:val="28"/>
          <w:szCs w:val="28"/>
          <w:highlight w:val="none"/>
        </w:rPr>
        <w:t xml:space="preserve">技术要求</w:t>
      </w:r>
      <w:r/>
    </w:p>
    <w:tbl>
      <w:tblPr>
        <w:tblStyle w:val="757"/>
        <w:tblW w:w="9571"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2"/>
        <w:gridCol w:w="766"/>
        <w:gridCol w:w="7993"/>
      </w:tblGrid>
      <w:tr>
        <w:trPr/>
        <w:tc>
          <w:tcPr>
            <w:tcMar>
              <w:left w:w="108" w:type="dxa"/>
              <w:top w:w="100" w:type="dxa"/>
              <w:right w:w="108" w:type="dxa"/>
              <w:bottom w:w="100" w:type="dxa"/>
            </w:tcMar>
            <w:tcW w:w="812" w:type="dxa"/>
            <w:vAlign w:val="center"/>
            <w:textDirection w:val="lrTb"/>
            <w:noWrap w:val="false"/>
          </w:tcPr>
          <w:p>
            <w:pPr>
              <w:pStyle w:val="1015"/>
              <w:jc w:val="center"/>
              <w:spacing w:line="440" w:lineRule="exact"/>
              <w:rPr>
                <w:rFonts w:eastAsia="宋体"/>
                <w:highlight w:val="none"/>
              </w:rPr>
            </w:pPr>
            <w:r/>
            <w:bookmarkStart w:id="169" w:name="_Hlk215127878"/>
            <w:r>
              <w:rPr>
                <w:rFonts w:eastAsia="宋体"/>
                <w:highlight w:val="none"/>
              </w:rPr>
              <w:t xml:space="preserve">序号</w:t>
            </w:r>
            <w:r/>
          </w:p>
        </w:tc>
        <w:tc>
          <w:tcPr>
            <w:tcMar>
              <w:left w:w="108" w:type="dxa"/>
              <w:top w:w="100" w:type="dxa"/>
              <w:right w:w="108" w:type="dxa"/>
              <w:bottom w:w="100" w:type="dxa"/>
            </w:tcMar>
            <w:tcW w:w="766" w:type="dxa"/>
            <w:vAlign w:val="center"/>
            <w:textDirection w:val="lrTb"/>
            <w:noWrap w:val="false"/>
          </w:tcPr>
          <w:p>
            <w:pPr>
              <w:pStyle w:val="1015"/>
              <w:jc w:val="center"/>
              <w:spacing w:line="440" w:lineRule="exact"/>
              <w:rPr>
                <w:rFonts w:eastAsia="宋体"/>
                <w:highlight w:val="none"/>
              </w:rPr>
            </w:pPr>
            <w:r>
              <w:rPr>
                <w:rFonts w:eastAsia="宋体"/>
                <w:highlight w:val="none"/>
              </w:rPr>
              <w:t xml:space="preserve">名称</w:t>
            </w:r>
            <w:r/>
          </w:p>
        </w:tc>
        <w:tc>
          <w:tcPr>
            <w:tcMar>
              <w:left w:w="108" w:type="dxa"/>
              <w:top w:w="100" w:type="dxa"/>
              <w:right w:w="108" w:type="dxa"/>
              <w:bottom w:w="100" w:type="dxa"/>
            </w:tcMar>
            <w:tcW w:w="7993" w:type="dxa"/>
            <w:vAlign w:val="center"/>
            <w:textDirection w:val="lrTb"/>
            <w:noWrap w:val="false"/>
          </w:tcPr>
          <w:p>
            <w:pPr>
              <w:pStyle w:val="1015"/>
              <w:jc w:val="center"/>
              <w:spacing w:line="440" w:lineRule="exact"/>
              <w:rPr>
                <w:rFonts w:eastAsia="宋体"/>
                <w:highlight w:val="none"/>
              </w:rPr>
            </w:pPr>
            <w:r>
              <w:rPr>
                <w:rFonts w:eastAsia="宋体"/>
                <w:highlight w:val="none"/>
              </w:rPr>
              <w:t xml:space="preserve">内容</w:t>
            </w:r>
            <w:r/>
          </w:p>
        </w:tc>
      </w:tr>
      <w:tr>
        <w:trPr/>
        <w:tc>
          <w:tcPr>
            <w:tcMar>
              <w:left w:w="108" w:type="dxa"/>
              <w:top w:w="100" w:type="dxa"/>
              <w:right w:w="108" w:type="dxa"/>
              <w:bottom w:w="100" w:type="dxa"/>
            </w:tcMar>
            <w:tcW w:w="812" w:type="dxa"/>
            <w:vAlign w:val="center"/>
            <w:textDirection w:val="lrTb"/>
            <w:noWrap w:val="false"/>
          </w:tcPr>
          <w:p>
            <w:pPr>
              <w:pStyle w:val="1015"/>
              <w:jc w:val="center"/>
              <w:spacing w:line="440" w:lineRule="exact"/>
              <w:rPr>
                <w:rFonts w:eastAsia="宋体"/>
                <w:highlight w:val="none"/>
              </w:rPr>
            </w:pPr>
            <w:r>
              <w:rPr>
                <w:rFonts w:eastAsia="宋体"/>
                <w:highlight w:val="none"/>
              </w:rPr>
              <w:t xml:space="preserve">1</w:t>
            </w:r>
            <w:r/>
          </w:p>
        </w:tc>
        <w:tc>
          <w:tcPr>
            <w:tcMar>
              <w:left w:w="108" w:type="dxa"/>
              <w:top w:w="100" w:type="dxa"/>
              <w:right w:w="108" w:type="dxa"/>
              <w:bottom w:w="100" w:type="dxa"/>
            </w:tcMar>
            <w:tcW w:w="766" w:type="dxa"/>
            <w:vAlign w:val="center"/>
            <w:textDirection w:val="lrTb"/>
            <w:noWrap w:val="false"/>
          </w:tcPr>
          <w:p>
            <w:pPr>
              <w:pStyle w:val="1015"/>
              <w:spacing w:line="440" w:lineRule="exact"/>
              <w:rPr>
                <w:rFonts w:eastAsia="宋体"/>
                <w:highlight w:val="none"/>
              </w:rPr>
            </w:pPr>
            <w:r>
              <w:rPr>
                <w:rFonts w:eastAsia="宋体"/>
                <w:highlight w:val="none"/>
              </w:rPr>
              <w:t xml:space="preserve">项目概况</w:t>
            </w:r>
            <w:r/>
          </w:p>
        </w:tc>
        <w:tc>
          <w:tcPr>
            <w:tcMar>
              <w:left w:w="108" w:type="dxa"/>
              <w:top w:w="100" w:type="dxa"/>
              <w:right w:w="108" w:type="dxa"/>
              <w:bottom w:w="100" w:type="dxa"/>
            </w:tcMar>
            <w:tcW w:w="7993"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1、为保障堤防安全运行，对我市江堤、西水道外围堤及市级河道堤防开展白蚁等害堤动物普查及治理工作，同时对重点堤防进行健康安全评估。</w:t>
            </w:r>
            <w:r/>
          </w:p>
          <w:p>
            <w:pPr>
              <w:spacing w:line="440" w:lineRule="exact"/>
              <w:rPr>
                <w:rStyle w:val="1022"/>
                <w:rFonts w:hint="eastAsia" w:ascii="Times New Roman" w:hAnsi="Times New Roman" w:eastAsia="宋体"/>
                <w:i/>
                <w:iCs/>
                <w:sz w:val="24"/>
                <w:highlight w:val="none"/>
                <w:u w:val="single"/>
                <w:lang w:val="en-US" w:eastAsia="zh-CN"/>
              </w:rPr>
            </w:pPr>
            <w:r>
              <w:rPr>
                <w:rFonts w:ascii="Times New Roman" w:hAnsi="Times New Roman"/>
                <w:i/>
                <w:iCs/>
                <w:sz w:val="24"/>
                <w:szCs w:val="24"/>
                <w:highlight w:val="none"/>
                <w:u w:val="single"/>
              </w:rPr>
              <w:t xml:space="preserve">2、</w:t>
            </w:r>
            <w:r>
              <w:rPr>
                <w:rStyle w:val="1022"/>
                <w:rFonts w:ascii="Times New Roman" w:hAnsi="Times New Roman"/>
                <w:i/>
                <w:iCs/>
                <w:sz w:val="24"/>
                <w:highlight w:val="none"/>
                <w:u w:val="single"/>
              </w:rPr>
              <w:t xml:space="preserve">本项目长江堤防普查75公里、治理39公里；市级河道普查400公里、治理80公里；江堤安全健康评估5公里，服务期限至2026年12月30日。期间开展两轮普查及治理，2026年5月底完成第一轮普查治理，出具普查治理报告；2026年11月底完成第二轮普查，同时对长江重点堤段进行安全健康评估并出具报告。</w:t>
            </w:r>
            <w:r/>
          </w:p>
        </w:tc>
      </w:tr>
      <w:tr>
        <w:trPr/>
        <w:tc>
          <w:tcPr>
            <w:tcMar>
              <w:left w:w="108" w:type="dxa"/>
              <w:top w:w="100" w:type="dxa"/>
              <w:right w:w="108" w:type="dxa"/>
              <w:bottom w:w="100" w:type="dxa"/>
            </w:tcMar>
            <w:tcW w:w="812" w:type="dxa"/>
            <w:vAlign w:val="center"/>
            <w:vMerge w:val="restart"/>
            <w:textDirection w:val="lrTb"/>
            <w:noWrap w:val="false"/>
          </w:tcPr>
          <w:p>
            <w:pPr>
              <w:pStyle w:val="1015"/>
              <w:jc w:val="center"/>
              <w:spacing w:line="440" w:lineRule="exact"/>
              <w:rPr>
                <w:rFonts w:eastAsia="宋体"/>
                <w:highlight w:val="none"/>
              </w:rPr>
            </w:pPr>
            <w:r>
              <w:rPr>
                <w:rFonts w:eastAsia="宋体"/>
                <w:highlight w:val="none"/>
              </w:rPr>
              <w:t xml:space="preserve">2</w:t>
            </w:r>
            <w:r/>
          </w:p>
        </w:tc>
        <w:tc>
          <w:tcPr>
            <w:tcMar>
              <w:left w:w="108" w:type="dxa"/>
              <w:top w:w="100" w:type="dxa"/>
              <w:right w:w="108" w:type="dxa"/>
              <w:bottom w:w="100" w:type="dxa"/>
            </w:tcMar>
            <w:tcW w:w="766" w:type="dxa"/>
            <w:vAlign w:val="center"/>
            <w:vMerge w:val="restart"/>
            <w:textDirection w:val="lrTb"/>
            <w:noWrap w:val="false"/>
          </w:tcPr>
          <w:p>
            <w:pPr>
              <w:pStyle w:val="1015"/>
              <w:spacing w:line="440" w:lineRule="exact"/>
              <w:rPr>
                <w:rFonts w:eastAsia="宋体"/>
                <w:highlight w:val="none"/>
              </w:rPr>
            </w:pPr>
            <w:r>
              <w:rPr>
                <w:rFonts w:eastAsia="宋体"/>
                <w:highlight w:val="none"/>
              </w:rPr>
              <w:t xml:space="preserve">服务内容</w:t>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2.1 实施依据</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hint="eastAsia" w:cs="仿宋"/>
                <w:bCs/>
                <w:color w:val="000000"/>
                <w:szCs w:val="21"/>
                <w:highlight w:val="none"/>
              </w:rPr>
              <w:t xml:space="preserve">按照</w:t>
            </w:r>
            <w:r>
              <w:rPr>
                <w:rFonts w:hint="eastAsia" w:cs="仿宋"/>
                <w:szCs w:val="21"/>
                <w:highlight w:val="none"/>
              </w:rPr>
              <w:t xml:space="preserve">《水利工程白蚁防治技术规程（SL/T 836-2024）》《水利工程白蚁等害堤动物防治工作实施方案（2024-2030）》</w:t>
            </w:r>
            <w:r>
              <w:rPr>
                <w:rStyle w:val="1022"/>
                <w:rFonts w:ascii="Times New Roman" w:hAnsi="Times New Roman"/>
                <w:color w:val="000000"/>
                <w:highlight w:val="none"/>
              </w:rPr>
              <w:t xml:space="preserve">开展项目范围内堤防白蚁等害堤动物普查及防治处理，内容包括：对白蚁外露特征、白蚁活动痕迹查找、判断分布范围及深度、确定白蚁等害堤动物危害等级、对普查发现白蚁危害严重区域进行诱杀、埋设引诱〈堆〉桩、埋设部分信息化智能监测装置、诱杀剂投放、蚁道灌浆、机械打孔灌浆、巢位确定、破巢开挖、蚁患处土方夯实回填、獾等害堤动物普查及治理等相关工作；中标人须提供白蚁等害堤动物普查及防治台账（日常工作检查记录、采食检查记录、图纸图片资料汇总、总结、验收报告等）。</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spacing w:line="440" w:lineRule="exact"/>
              <w:rPr>
                <w:rStyle w:val="1022"/>
                <w:rFonts w:ascii="Times New Roman" w:hAnsi="Times New Roman"/>
                <w:sz w:val="24"/>
                <w:highlight w:val="none"/>
              </w:rPr>
            </w:pPr>
            <w:r>
              <w:rPr>
                <w:rStyle w:val="1022"/>
                <w:rFonts w:ascii="Times New Roman" w:hAnsi="Times New Roman"/>
                <w:sz w:val="24"/>
                <w:highlight w:val="none"/>
              </w:rPr>
              <w:t xml:space="preserve">2.2 工作量清单</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spacing w:line="440" w:lineRule="exact"/>
              <w:rPr>
                <w:rStyle w:val="1022"/>
                <w:rFonts w:ascii="Times New Roman" w:hAnsi="Times New Roman"/>
                <w:color w:val="000000"/>
                <w:sz w:val="24"/>
                <w:szCs w:val="24"/>
                <w:highlight w:val="none"/>
              </w:rPr>
            </w:pPr>
            <w:r>
              <w:rPr>
                <w:rStyle w:val="1022"/>
                <w:rFonts w:ascii="Times New Roman" w:hAnsi="Times New Roman"/>
                <w:color w:val="000000"/>
                <w:sz w:val="24"/>
                <w:szCs w:val="24"/>
                <w:highlight w:val="none"/>
              </w:rPr>
              <w:t xml:space="preserve">1、中标人须对《2024年度白蚁等害堤动物普查及治理项目》中已普查到的受害堤防实施治理，并开展第一次白蚁等害堤动物普查工作，</w:t>
            </w:r>
            <w:r>
              <w:rPr>
                <w:rFonts w:ascii="Times New Roman" w:hAnsi="Times New Roman"/>
                <w:color w:val="000000"/>
                <w:sz w:val="24"/>
                <w:szCs w:val="24"/>
                <w:highlight w:val="none"/>
              </w:rPr>
              <w:t xml:space="preserve">同时完成对长江重点堤防进行安全健康评估。</w:t>
            </w:r>
            <w:r>
              <w:rPr>
                <w:rStyle w:val="1022"/>
                <w:rFonts w:ascii="Times New Roman" w:hAnsi="Times New Roman"/>
                <w:color w:val="000000"/>
                <w:sz w:val="24"/>
                <w:szCs w:val="24"/>
                <w:highlight w:val="none"/>
              </w:rPr>
              <w:t xml:space="preserve">具体工作量如下：</w:t>
            </w:r>
            <w:r/>
          </w:p>
          <w:tbl>
            <w:tblPr>
              <w:tblStyle w:val="757"/>
              <w:tblW w:w="7779" w:type="dxa"/>
              <w:tblInd w:w="0" w:type="dxa"/>
              <w:tblLayout w:type="fixed"/>
              <w:tblCellMar>
                <w:left w:w="108" w:type="dxa"/>
                <w:top w:w="0" w:type="dxa"/>
                <w:right w:w="108" w:type="dxa"/>
                <w:bottom w:w="0" w:type="dxa"/>
              </w:tblCellMar>
              <w:tblLook w:val="04A0" w:firstRow="1" w:lastRow="0" w:firstColumn="1" w:lastColumn="0" w:noHBand="0" w:noVBand="1"/>
            </w:tblPr>
            <w:tblGrid>
              <w:gridCol w:w="598"/>
              <w:gridCol w:w="1476"/>
              <w:gridCol w:w="709"/>
              <w:gridCol w:w="1559"/>
              <w:gridCol w:w="1417"/>
              <w:gridCol w:w="2020"/>
            </w:tblGrid>
            <w:tr>
              <w:trPr>
                <w:trHeight w:val="603"/>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河流名称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堤防等级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对2024年受害堤防治理工作量/km</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白蚁等害堤动物普查工作量/km</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备注</w:t>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北中心河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至七干河止</w:t>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盐铁塘</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华妙河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自二干河始，至西旸塘止</w:t>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三丈浦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七干河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自六干河始，至走马塘止</w:t>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六干河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四干河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五干河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走马塘</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永南河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14.86</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自四干河始，至六干河止</w:t>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新奚浦塘</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自沙漕交界河始，至张家港止</w:t>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三干河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62.6</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农场河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常沙河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12.24</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西旸塘</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自华妙河始，至七干河止</w:t>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张家港河（凤凰段）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长江（一干河东面）</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39.11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39.11</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自一干河始，至三干河止，包含港堤</w:t>
                  </w:r>
                  <w:r/>
                </w:p>
              </w:tc>
            </w:tr>
            <w:tr>
              <w:trPr>
                <w:trHeight w:val="341"/>
              </w:trPr>
              <w:tc>
                <w:tcPr>
                  <w:tcBorders>
                    <w:top w:val="single" w:color="000000" w:sz="4" w:space="0"/>
                    <w:left w:val="single" w:color="000000" w:sz="4" w:space="0"/>
                    <w:bottom w:val="single" w:color="auto"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lang w:bidi="ar"/>
                    </w:rPr>
                  </w:pPr>
                  <w:r>
                    <w:rPr>
                      <w:rFonts w:ascii="Times New Roman" w:hAnsi="Times New Roman"/>
                      <w:color w:val="000000"/>
                      <w:sz w:val="24"/>
                      <w:szCs w:val="24"/>
                      <w:highlight w:val="none"/>
                      <w:lang w:bidi="ar"/>
                    </w:rPr>
                    <w:t xml:space="preserve">18</w:t>
                  </w:r>
                  <w:r/>
                </w:p>
              </w:tc>
              <w:tc>
                <w:tcPr>
                  <w:tcBorders>
                    <w:top w:val="single" w:color="000000" w:sz="4" w:space="0"/>
                    <w:left w:val="single" w:color="000000" w:sz="4" w:space="0"/>
                    <w:bottom w:val="single" w:color="auto" w:sz="4" w:space="0"/>
                    <w:right w:val="single" w:color="000000" w:sz="4" w:space="0"/>
                  </w:tcBorders>
                  <w:tcW w:w="1476" w:type="dxa"/>
                  <w:vAlign w:val="center"/>
                  <w:textDirection w:val="lrTb"/>
                  <w:noWrap/>
                </w:tcPr>
                <w:p>
                  <w:pPr>
                    <w:jc w:val="center"/>
                    <w:widowControl/>
                    <w:rPr>
                      <w:rFonts w:ascii="Times New Roman" w:hAnsi="Times New Roman"/>
                      <w:color w:val="000000"/>
                      <w:sz w:val="24"/>
                      <w:szCs w:val="24"/>
                      <w:highlight w:val="none"/>
                      <w:lang w:bidi="ar"/>
                    </w:rPr>
                  </w:pPr>
                  <w:r>
                    <w:rPr>
                      <w:rFonts w:ascii="Times New Roman" w:hAnsi="Times New Roman"/>
                      <w:color w:val="000000"/>
                      <w:sz w:val="24"/>
                      <w:szCs w:val="24"/>
                      <w:highlight w:val="none"/>
                      <w:lang w:bidi="ar"/>
                    </w:rPr>
                    <w:t xml:space="preserve">西水道外围堤</w:t>
                  </w:r>
                  <w:r/>
                </w:p>
              </w:tc>
              <w:tc>
                <w:tcPr>
                  <w:tcBorders>
                    <w:top w:val="single" w:color="000000" w:sz="4" w:space="0"/>
                    <w:left w:val="single" w:color="000000" w:sz="4" w:space="0"/>
                    <w:bottom w:val="single" w:color="auto" w:sz="4" w:space="0"/>
                    <w:right w:val="single" w:color="000000" w:sz="4" w:space="0"/>
                  </w:tcBorders>
                  <w:tcW w:w="709" w:type="dxa"/>
                  <w:vAlign w:val="center"/>
                  <w:textDirection w:val="lrTb"/>
                  <w:noWrap/>
                </w:tcPr>
                <w:p>
                  <w:pPr>
                    <w:jc w:val="center"/>
                    <w:widowControl/>
                    <w:rPr>
                      <w:rFonts w:ascii="Times New Roman" w:hAnsi="Times New Roman"/>
                      <w:color w:val="000000"/>
                      <w:sz w:val="24"/>
                      <w:szCs w:val="24"/>
                      <w:highlight w:val="none"/>
                      <w:lang w:bidi="ar"/>
                    </w:rPr>
                  </w:pPr>
                  <w:r>
                    <w:rPr>
                      <w:rFonts w:ascii="Times New Roman" w:hAnsi="Times New Roman"/>
                      <w:color w:val="000000"/>
                      <w:sz w:val="24"/>
                      <w:szCs w:val="24"/>
                      <w:highlight w:val="none"/>
                      <w:lang w:bidi="ar"/>
                    </w:rPr>
                    <w:t xml:space="preserve">2级</w:t>
                  </w:r>
                  <w:r/>
                </w:p>
              </w:tc>
              <w:tc>
                <w:tcPr>
                  <w:tcBorders>
                    <w:top w:val="single" w:color="000000" w:sz="4" w:space="0"/>
                    <w:left w:val="single" w:color="000000" w:sz="4" w:space="0"/>
                    <w:bottom w:val="single" w:color="auto" w:sz="4" w:space="0"/>
                    <w:right w:val="single" w:color="000000" w:sz="4" w:space="0"/>
                  </w:tcBorders>
                  <w:tcW w:w="1559" w:type="dxa"/>
                  <w:vAlign w:val="center"/>
                  <w:textDirection w:val="lrTb"/>
                  <w:noWrap/>
                </w:tcPr>
                <w:p>
                  <w:pPr>
                    <w:jc w:val="center"/>
                    <w:widowControl/>
                    <w:rPr>
                      <w:rFonts w:ascii="Times New Roman" w:hAnsi="Times New Roman"/>
                      <w:color w:val="000000"/>
                      <w:sz w:val="24"/>
                      <w:szCs w:val="24"/>
                      <w:highlight w:val="none"/>
                      <w:lang w:bidi="ar"/>
                    </w:rPr>
                  </w:pPr>
                  <w:r>
                    <w:rPr>
                      <w:rFonts w:ascii="Times New Roman" w:hAnsi="Times New Roman"/>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1417" w:type="dxa"/>
                  <w:vAlign w:val="center"/>
                  <w:textDirection w:val="lrTb"/>
                  <w:noWrap/>
                </w:tcPr>
                <w:p>
                  <w:pPr>
                    <w:jc w:val="center"/>
                    <w:widowControl/>
                    <w:rPr>
                      <w:rFonts w:ascii="Times New Roman" w:hAnsi="Times New Roman"/>
                      <w:color w:val="000000"/>
                      <w:sz w:val="24"/>
                      <w:szCs w:val="24"/>
                      <w:highlight w:val="none"/>
                      <w:lang w:bidi="ar"/>
                    </w:rPr>
                  </w:pPr>
                  <w:r>
                    <w:rPr>
                      <w:rFonts w:ascii="Times New Roman" w:hAnsi="Times New Roman"/>
                      <w:color w:val="000000"/>
                      <w:sz w:val="24"/>
                      <w:szCs w:val="24"/>
                      <w:highlight w:val="none"/>
                      <w:lang w:bidi="ar"/>
                    </w:rPr>
                    <w:t xml:space="preserve">37.4</w:t>
                  </w:r>
                  <w:r/>
                </w:p>
              </w:tc>
              <w:tc>
                <w:tcPr>
                  <w:tcBorders>
                    <w:top w:val="single" w:color="000000" w:sz="4" w:space="0"/>
                    <w:left w:val="single" w:color="000000" w:sz="4" w:space="0"/>
                    <w:bottom w:val="single" w:color="auto" w:sz="4" w:space="0"/>
                    <w:right w:val="single" w:color="000000" w:sz="4" w:space="0"/>
                  </w:tcBorders>
                  <w:tcW w:w="2020" w:type="dxa"/>
                  <w:vAlign w:val="center"/>
                  <w:textDirection w:val="lrTb"/>
                  <w:noWrap w:val="false"/>
                </w:tcPr>
                <w:p>
                  <w:pPr>
                    <w:jc w:val="center"/>
                    <w:widowControl/>
                    <w:rPr>
                      <w:rFonts w:ascii="Times New Roman" w:hAnsi="Times New Roman"/>
                      <w:color w:val="000000"/>
                      <w:sz w:val="24"/>
                      <w:szCs w:val="24"/>
                      <w:highlight w:val="none"/>
                      <w:lang w:bidi="ar"/>
                    </w:rPr>
                  </w:pPr>
                  <w:r>
                    <w:rPr>
                      <w:rFonts w:ascii="Times New Roman" w:hAnsi="Times New Roman"/>
                      <w:color w:val="000000"/>
                      <w:sz w:val="24"/>
                      <w:szCs w:val="24"/>
                      <w:highlight w:val="none"/>
                      <w:lang w:bidi="ar"/>
                    </w:rPr>
                    <w:t xml:space="preserve">通沙汽渡至常熟界</w:t>
                  </w:r>
                  <w:r/>
                </w:p>
              </w:tc>
            </w:tr>
            <w:tr>
              <w:trPr>
                <w:trHeight w:val="341"/>
              </w:trPr>
              <w:tc>
                <w:tcPr>
                  <w:tcBorders>
                    <w:top w:val="single" w:color="auto" w:sz="4" w:space="0"/>
                    <w:left w:val="single" w:color="auto" w:sz="4" w:space="0"/>
                    <w:bottom w:val="single" w:color="auto" w:sz="4" w:space="0"/>
                    <w:right w:val="single" w:color="000000" w:sz="4" w:space="0"/>
                  </w:tcBorders>
                  <w:tcW w:w="598" w:type="dxa"/>
                  <w:vAlign w:val="center"/>
                  <w:textDirection w:val="lrTb"/>
                  <w:noWrap/>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19</w:t>
                  </w:r>
                  <w:r/>
                </w:p>
              </w:tc>
              <w:tc>
                <w:tcPr>
                  <w:gridSpan w:val="5"/>
                  <w:tcBorders>
                    <w:top w:val="single" w:color="auto" w:sz="4" w:space="0"/>
                    <w:left w:val="single" w:color="000000" w:sz="4" w:space="0"/>
                    <w:bottom w:val="single" w:color="auto" w:sz="4" w:space="0"/>
                    <w:right w:val="single" w:color="auto" w:sz="4" w:space="0"/>
                  </w:tcBorders>
                  <w:tcW w:w="7181" w:type="dxa"/>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长江健康普查（沙洲电厂至三干河），江堤长度5km</w:t>
                  </w:r>
                  <w:r/>
                </w:p>
              </w:tc>
            </w:tr>
          </w:tbl>
          <w:p>
            <w:pPr>
              <w:spacing w:line="440" w:lineRule="exact"/>
              <w:rPr>
                <w:rStyle w:val="1022"/>
                <w:rFonts w:hint="default" w:ascii="Times New Roman" w:hAnsi="Times New Roman"/>
                <w:sz w:val="24"/>
                <w:highlight w:val="none"/>
                <w:lang w:val="en-US"/>
              </w:rPr>
            </w:pPr>
            <w:r>
              <w:rPr>
                <w:rFonts w:hint="eastAsia" w:ascii="Times New Roman" w:hAnsi="Times New Roman"/>
                <w:sz w:val="24"/>
                <w:szCs w:val="24"/>
                <w:highlight w:val="none"/>
                <w:lang w:val="en-US" w:eastAsia="zh-CN"/>
              </w:rPr>
              <w:t xml:space="preserve">投标人对本项目涉及区域的白蚁等害堤动物危害情况进行了解、分析（如白蚁种类、害堤动物对</w:t>
            </w:r>
            <w:r>
              <w:rPr>
                <w:rStyle w:val="1022"/>
                <w:rFonts w:ascii="Times New Roman" w:hAnsi="Times New Roman"/>
                <w:color w:val="000000"/>
                <w:sz w:val="24"/>
                <w:szCs w:val="24"/>
                <w:highlight w:val="none"/>
              </w:rPr>
              <w:t xml:space="preserve">堤防</w:t>
            </w:r>
            <w:r>
              <w:rPr>
                <w:rStyle w:val="1022"/>
                <w:rFonts w:hint="eastAsia" w:ascii="Times New Roman" w:hAnsi="Times New Roman"/>
                <w:color w:val="000000"/>
                <w:sz w:val="24"/>
                <w:szCs w:val="24"/>
                <w:highlight w:val="none"/>
                <w:lang w:val="en-US" w:eastAsia="zh-CN"/>
              </w:rPr>
              <w:t xml:space="preserve">的影响等</w:t>
            </w:r>
            <w:r>
              <w:rPr>
                <w:rFonts w:hint="eastAsia" w:ascii="Times New Roman" w:hAnsi="Times New Roman"/>
                <w:sz w:val="24"/>
                <w:szCs w:val="24"/>
                <w:highlight w:val="none"/>
                <w:lang w:val="en-US" w:eastAsia="zh-CN"/>
              </w:rPr>
              <w:t xml:space="preserve">）。熟悉项目涉及区域的地理环境。</w:t>
            </w:r>
            <w:r/>
          </w:p>
        </w:tc>
      </w:tr>
      <w:tr>
        <w:trPr/>
        <w:tc>
          <w:tcPr>
            <w:tcMar>
              <w:left w:w="108" w:type="dxa"/>
              <w:top w:w="100" w:type="dxa"/>
              <w:right w:w="108" w:type="dxa"/>
              <w:bottom w:w="100" w:type="dxa"/>
            </w:tcMar>
            <w:tcW w:w="812" w:type="dxa"/>
            <w:vAlign w:val="center"/>
            <w:vMerge w:val="restart"/>
            <w:textDirection w:val="lrTb"/>
            <w:noWrap w:val="false"/>
          </w:tcPr>
          <w:p>
            <w:pPr>
              <w:pStyle w:val="1015"/>
              <w:jc w:val="center"/>
              <w:spacing w:line="440" w:lineRule="exact"/>
              <w:rPr>
                <w:rFonts w:eastAsia="宋体"/>
                <w:highlight w:val="none"/>
              </w:rPr>
            </w:pPr>
            <w:r>
              <w:rPr>
                <w:rFonts w:eastAsia="宋体"/>
                <w:highlight w:val="none"/>
              </w:rPr>
              <w:t xml:space="preserve">3</w:t>
            </w:r>
            <w:r/>
          </w:p>
        </w:tc>
        <w:tc>
          <w:tcPr>
            <w:tcMar>
              <w:left w:w="108" w:type="dxa"/>
              <w:top w:w="100" w:type="dxa"/>
              <w:right w:w="108" w:type="dxa"/>
              <w:bottom w:w="100" w:type="dxa"/>
            </w:tcMar>
            <w:tcW w:w="766" w:type="dxa"/>
            <w:vAlign w:val="center"/>
            <w:vMerge w:val="restart"/>
            <w:textDirection w:val="lrTb"/>
            <w:noWrap w:val="false"/>
          </w:tcPr>
          <w:p>
            <w:pPr>
              <w:pStyle w:val="1015"/>
              <w:spacing w:line="440" w:lineRule="exact"/>
              <w:rPr>
                <w:rFonts w:eastAsia="宋体"/>
                <w:highlight w:val="none"/>
              </w:rPr>
            </w:pPr>
            <w:r>
              <w:rPr>
                <w:rFonts w:eastAsia="宋体"/>
                <w:highlight w:val="none"/>
              </w:rPr>
              <w:t xml:space="preserve">服务要求</w:t>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3.1 </w:t>
            </w:r>
            <w:r>
              <w:rPr>
                <w:rStyle w:val="1022"/>
                <w:rFonts w:ascii="Times New Roman" w:hAnsi="Times New Roman"/>
                <w:color w:val="000000"/>
                <w:highlight w:val="none"/>
              </w:rPr>
              <w:t xml:space="preserve">受害堤防实施系统性治理要求</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Style w:val="1022"/>
                <w:rFonts w:ascii="Times New Roman" w:hAnsi="Times New Roman"/>
                <w:highlight w:val="none"/>
              </w:rPr>
            </w:pPr>
            <w:r>
              <w:rPr>
                <w:rStyle w:val="1022"/>
                <w:rFonts w:ascii="Times New Roman" w:hAnsi="Times New Roman"/>
                <w:highlight w:val="none"/>
              </w:rPr>
              <w:t xml:space="preserve">3.1.1 治理实施要求</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在前期普查确定危害等级与分布范围的基础上，针对危害严重区域，系统性地开展以下治理工作：</w:t>
            </w:r>
            <w:r/>
          </w:p>
          <w:p>
            <w:pPr>
              <w:pStyle w:val="777"/>
              <w:spacing w:beforeAutospacing="0" w:afterAutospacing="0" w:line="440" w:lineRule="exact"/>
              <w:rPr>
                <w:rFonts w:ascii="Times New Roman" w:hAnsi="Times New Roman"/>
                <w:highlight w:val="none"/>
              </w:rPr>
            </w:pPr>
            <w:r>
              <w:rPr>
                <w:rFonts w:ascii="Times New Roman" w:hAnsi="Times New Roman"/>
                <w:color w:val="000000"/>
                <w:highlight w:val="none"/>
              </w:rPr>
              <w:t xml:space="preserve">1、精准诱杀处理：对发现白蚁活动迹象的区域，及时投放高效、环保的专用诱杀剂。规范布设引诱桩（堆），定期检查采食情况，及时补充或更换诱饵，确保诱杀效果。对特定区域或重点蚁路，可结合使用信息化智能监测装置，实时监控白蚁活动，指导精准投药。</w:t>
            </w:r>
            <w:r/>
          </w:p>
          <w:p>
            <w:pPr>
              <w:pStyle w:val="777"/>
              <w:spacing w:beforeAutospacing="0" w:afterAutospacing="0" w:line="440" w:lineRule="exact"/>
              <w:rPr>
                <w:rFonts w:ascii="Times New Roman" w:hAnsi="Times New Roman"/>
                <w:highlight w:val="none"/>
              </w:rPr>
            </w:pPr>
            <w:r>
              <w:rPr>
                <w:rFonts w:ascii="Times New Roman" w:hAnsi="Times New Roman"/>
                <w:color w:val="000000"/>
                <w:highlight w:val="none"/>
              </w:rPr>
              <w:t xml:space="preserve">2、巢穴系统处理：运用多种技术手段（如追踪探巢、仪器探测等）准确判断主要巢穴的位置及深度。对确定的巢位，视情况采取破巢开挖或蚁道（及巢穴）压力灌浆等措施。开挖后须对蚁巢、蚁路系统进行彻底清理。优先采用机械打孔灌浆与蚁道灌浆相结合的方式，利用专用浆液填充、固结巢腔和蚁路，恢复堤身密实度。灌浆参数（压力、浆液配比等）须符合规范要求。对开挖处理后的区域，必须进行土方夯实回填，确保回填质量达到原堤防设计标准，恢复堤身完整。</w:t>
            </w:r>
            <w:r/>
          </w:p>
          <w:p>
            <w:pPr>
              <w:pStyle w:val="777"/>
              <w:spacing w:beforeAutospacing="0" w:afterAutospacing="0" w:line="440" w:lineRule="exact"/>
              <w:rPr>
                <w:rFonts w:ascii="Times New Roman" w:hAnsi="Times New Roman"/>
                <w:highlight w:val="none"/>
              </w:rPr>
            </w:pPr>
            <w:r>
              <w:rPr>
                <w:rFonts w:ascii="Times New Roman" w:hAnsi="Times New Roman"/>
                <w:highlight w:val="none"/>
              </w:rPr>
              <w:t xml:space="preserve">3、</w:t>
            </w:r>
            <w:r>
              <w:rPr>
                <w:rFonts w:ascii="Times New Roman" w:hAnsi="Times New Roman"/>
                <w:color w:val="000000"/>
                <w:highlight w:val="none"/>
              </w:rPr>
              <w:t xml:space="preserve">害堤动物综合治理：对普查发现的獾等害堤动物洞穴、通道，采取驱赶、捕捉或封堵等措施进行治理。对动物洞穴进行彻底清理后，采用适宜材料分层夯实回填，必要时进行灌浆处理，确保封堵严密。</w:t>
            </w:r>
            <w:r/>
          </w:p>
          <w:p>
            <w:pPr>
              <w:pStyle w:val="777"/>
              <w:spacing w:beforeAutospacing="0" w:afterAutospacing="0" w:line="440" w:lineRule="exact"/>
              <w:rPr>
                <w:rFonts w:ascii="Times New Roman" w:hAnsi="Times New Roman"/>
                <w:highlight w:val="none"/>
              </w:rPr>
            </w:pPr>
            <w:r>
              <w:rPr>
                <w:rFonts w:ascii="Times New Roman" w:hAnsi="Times New Roman"/>
                <w:highlight w:val="none"/>
              </w:rPr>
              <w:t xml:space="preserve">4、</w:t>
            </w:r>
            <w:r>
              <w:rPr>
                <w:rFonts w:ascii="Times New Roman" w:hAnsi="Times New Roman"/>
                <w:color w:val="000000"/>
                <w:highlight w:val="none"/>
              </w:rPr>
              <w:t xml:space="preserve">治理过程记录与台账建立：中标人须建立并完善白蚁等害堤动物普查及防治全过程台账。台账内容应包括但不限于：日常工作检查记录、引诱桩（堆）采食检查记录、诱杀剂投放记录、灌浆施工记录、开挖回填记录、害堤动物治理记录等。同时，应系统整理治理过程中的图纸、照片、视频等影像资料，以及相关的监测数据、检测报告。定期编制治理工作小结，并在治理周期结束后，提交全面的治理工作总结报告，为项目验收和后效评估提供依据。</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3.1.2 复查与核查要求</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定期复查：在主要治理措施完成后，应制定并执行定期的复查计划。复查内容包括但不限于：检查原危害区域是否有新的活动迹象、引诱桩（堆）的再次采食情况、智能监测装置的报警信息、灌浆效果、回填土体稳定性以及是否有新的害堤动物活动痕迹。</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2、效果核查：通过对比治理前后的危害状况、监测数据等，客观评估治理效果。对于效果不显著或出现复发的区域，须及时分析原因，调整治理方案，进行补充治理。</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3、长期监测：将治理区域纳入堤防工程的长期监测体系，利用已埋设的信息化智能监测装置与人工巡查相结合，实现常态化监控，做到早发现、早处理。</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Style w:val="1022"/>
                <w:rFonts w:ascii="Times New Roman" w:hAnsi="Times New Roman"/>
                <w:color w:val="000000"/>
                <w:highlight w:val="none"/>
              </w:rPr>
            </w:pPr>
            <w:r>
              <w:rPr>
                <w:rFonts w:ascii="Times New Roman" w:hAnsi="Times New Roman"/>
                <w:color w:val="000000"/>
                <w:highlight w:val="none"/>
              </w:rPr>
              <w:t xml:space="preserve">3.2 </w:t>
            </w:r>
            <w:r>
              <w:rPr>
                <w:rStyle w:val="1022"/>
                <w:rFonts w:ascii="Times New Roman" w:hAnsi="Times New Roman"/>
                <w:color w:val="000000"/>
                <w:highlight w:val="none"/>
              </w:rPr>
              <w:t xml:space="preserve">白蚁等害堤动物的普查工作要求</w:t>
            </w:r>
            <w:r/>
          </w:p>
          <w:p>
            <w:pPr>
              <w:pStyle w:val="777"/>
              <w:spacing w:beforeAutospacing="0" w:afterAutospacing="0" w:line="440" w:lineRule="exact"/>
              <w:rPr>
                <w:rStyle w:val="1022"/>
                <w:rFonts w:hint="default" w:ascii="Times New Roman" w:hAnsi="Times New Roman" w:eastAsia="宋体"/>
                <w:color w:val="000000"/>
                <w:highlight w:val="none"/>
                <w:lang w:val="en-US" w:eastAsia="zh-CN"/>
              </w:rPr>
            </w:pPr>
            <w:r>
              <w:rPr>
                <w:rStyle w:val="1022"/>
                <w:rFonts w:hint="eastAsia" w:ascii="Times New Roman" w:hAnsi="Times New Roman"/>
                <w:color w:val="000000"/>
                <w:highlight w:val="none"/>
                <w:lang w:val="en-US" w:eastAsia="zh-CN"/>
              </w:rPr>
              <w:t xml:space="preserve">投标人提供防治方案包含</w:t>
            </w:r>
            <w:r>
              <w:rPr>
                <w:rFonts w:hint="eastAsia" w:ascii="Times New Roman" w:hAnsi="Times New Roman" w:eastAsia="宋体" w:cs="Times New Roman"/>
                <w:spacing w:val="7"/>
                <w:highlight w:val="none"/>
                <w:lang w:val="en-US" w:eastAsia="zh-CN"/>
              </w:rPr>
              <w:t xml:space="preserve">普查防治整体思路</w:t>
            </w:r>
            <w:r>
              <w:rPr>
                <w:rFonts w:hint="eastAsia" w:ascii="Times New Roman" w:hAnsi="Times New Roman" w:cs="Times New Roman"/>
                <w:spacing w:val="7"/>
                <w:highlight w:val="none"/>
                <w:lang w:val="en-US" w:eastAsia="zh-CN"/>
              </w:rPr>
              <w:t xml:space="preserve">（根据普查目标制定</w:t>
            </w:r>
            <w:r>
              <w:rPr>
                <w:rFonts w:hint="eastAsia" w:ascii="Times New Roman" w:hAnsi="Times New Roman" w:eastAsia="宋体" w:cs="Times New Roman"/>
                <w:spacing w:val="7"/>
                <w:highlight w:val="none"/>
                <w:lang w:val="en-US" w:eastAsia="zh-CN"/>
              </w:rPr>
              <w:t xml:space="preserve">普查防治整体思路</w:t>
            </w:r>
            <w:r>
              <w:rPr>
                <w:rFonts w:hint="eastAsia" w:ascii="Times New Roman" w:hAnsi="Times New Roman" w:cs="Times New Roman"/>
                <w:spacing w:val="7"/>
                <w:highlight w:val="none"/>
                <w:lang w:val="en-US" w:eastAsia="zh-CN"/>
              </w:rPr>
              <w:t xml:space="preserve">）</w:t>
            </w:r>
            <w:r>
              <w:rPr>
                <w:rFonts w:hint="eastAsia" w:ascii="Times New Roman" w:hAnsi="Times New Roman" w:eastAsia="宋体" w:cs="Times New Roman"/>
                <w:spacing w:val="7"/>
                <w:highlight w:val="none"/>
                <w:lang w:val="en-US" w:eastAsia="zh-CN"/>
              </w:rPr>
              <w:t xml:space="preserve">，</w:t>
            </w:r>
            <w:r>
              <w:rPr>
                <w:rFonts w:hint="eastAsia" w:ascii="Times New Roman" w:hAnsi="Times New Roman" w:cs="Times New Roman"/>
                <w:spacing w:val="7"/>
                <w:highlight w:val="none"/>
                <w:lang w:val="en-US" w:eastAsia="zh-CN"/>
              </w:rPr>
              <w:t xml:space="preserve">普查防治</w:t>
            </w:r>
            <w:r>
              <w:rPr>
                <w:rFonts w:hint="eastAsia" w:eastAsia="宋体" w:cs="Times New Roman"/>
                <w:spacing w:val="7"/>
                <w:highlight w:val="none"/>
                <w:lang w:val="en-US" w:eastAsia="zh-CN"/>
              </w:rPr>
              <w:t xml:space="preserve">方案</w:t>
            </w:r>
            <w:r>
              <w:rPr>
                <w:rFonts w:hint="eastAsia" w:ascii="Times New Roman" w:hAnsi="Times New Roman" w:eastAsia="宋体" w:cs="Times New Roman"/>
                <w:spacing w:val="7"/>
                <w:highlight w:val="none"/>
                <w:lang w:val="en-US" w:eastAsia="zh-CN"/>
              </w:rPr>
              <w:t xml:space="preserve">措施</w:t>
            </w:r>
            <w:r>
              <w:rPr>
                <w:rFonts w:hint="eastAsia" w:ascii="Times New Roman" w:hAnsi="Times New Roman" w:cs="Times New Roman"/>
                <w:spacing w:val="7"/>
                <w:highlight w:val="none"/>
                <w:lang w:val="en-US" w:eastAsia="zh-CN"/>
              </w:rPr>
              <w:t xml:space="preserve">（综合运用普查方法）</w:t>
            </w:r>
            <w:r>
              <w:rPr>
                <w:rFonts w:hint="eastAsia" w:ascii="Times New Roman" w:hAnsi="Times New Roman" w:eastAsia="宋体" w:cs="Times New Roman"/>
                <w:spacing w:val="7"/>
                <w:highlight w:val="none"/>
                <w:lang w:val="en-US" w:eastAsia="zh-CN"/>
              </w:rPr>
              <w:t xml:space="preserve">，</w:t>
            </w:r>
            <w:r>
              <w:rPr>
                <w:rFonts w:hint="eastAsia" w:ascii="Times New Roman" w:hAnsi="Times New Roman" w:cs="Times New Roman"/>
                <w:spacing w:val="7"/>
                <w:highlight w:val="none"/>
                <w:lang w:val="en-US" w:eastAsia="zh-CN"/>
              </w:rPr>
              <w:t xml:space="preserve">细化普查防治</w:t>
            </w:r>
            <w:r>
              <w:rPr>
                <w:rFonts w:hint="eastAsia" w:ascii="Times New Roman" w:hAnsi="Times New Roman" w:eastAsia="宋体" w:cs="Times New Roman"/>
                <w:spacing w:val="7"/>
                <w:highlight w:val="none"/>
                <w:lang w:val="en-US" w:eastAsia="zh-CN"/>
              </w:rPr>
              <w:t xml:space="preserve">工作流程，</w:t>
            </w:r>
            <w:r>
              <w:rPr>
                <w:rFonts w:hint="eastAsia" w:ascii="Times New Roman" w:hAnsi="Times New Roman" w:cs="Times New Roman"/>
                <w:spacing w:val="7"/>
                <w:highlight w:val="none"/>
                <w:lang w:val="en-US" w:eastAsia="zh-CN"/>
              </w:rPr>
              <w:t xml:space="preserve">制定普查防治</w:t>
            </w:r>
            <w:r>
              <w:rPr>
                <w:rFonts w:hint="eastAsia" w:ascii="Times New Roman" w:hAnsi="Times New Roman" w:eastAsia="宋体" w:cs="Times New Roman"/>
                <w:spacing w:val="7"/>
                <w:highlight w:val="none"/>
                <w:lang w:val="en-US" w:eastAsia="zh-CN"/>
              </w:rPr>
              <w:t xml:space="preserve">工作进度计划，</w:t>
            </w:r>
            <w:r>
              <w:rPr>
                <w:rFonts w:hint="eastAsia" w:ascii="Times New Roman" w:hAnsi="Times New Roman" w:cs="Times New Roman"/>
                <w:spacing w:val="7"/>
                <w:highlight w:val="none"/>
                <w:lang w:val="en-US" w:eastAsia="zh-CN"/>
              </w:rPr>
              <w:t xml:space="preserve">进行</w:t>
            </w:r>
            <w:r>
              <w:rPr>
                <w:rFonts w:hint="eastAsia" w:ascii="Times New Roman" w:hAnsi="Times New Roman" w:eastAsia="宋体" w:cs="Times New Roman"/>
                <w:spacing w:val="7"/>
                <w:highlight w:val="none"/>
                <w:lang w:val="en-US" w:eastAsia="zh-CN"/>
              </w:rPr>
              <w:t xml:space="preserve">普查防治资料记录、</w:t>
            </w:r>
            <w:r>
              <w:rPr>
                <w:rFonts w:hint="eastAsia" w:ascii="Times New Roman" w:hAnsi="Times New Roman" w:cs="Times New Roman"/>
                <w:spacing w:val="7"/>
                <w:highlight w:val="none"/>
                <w:lang w:val="en-US" w:eastAsia="zh-CN"/>
              </w:rPr>
              <w:t xml:space="preserve">管理。</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3.2.1 普查目标</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1、全面摸清底数：精确查明白蚁等害堤动物的种类、分布密度、危害等级与活动规律。</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2、精准定位隐患：发现并标示所有地表危害迹象，并运用先进仪器确定深层蚁巢、洞穴的具体位置，为精准治理提供靶向目标。</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3、建立动态档案： 形成包含地理信息、现场影像、监测数据在内的数字化害情档案，为科学防治与长效管理提供数据支撑。</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3.2.2 普查方法</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综合运用“人工普查法+引诱法+仪器探测法”三维排查模式。</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1、人工拉网式普查</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（1）组织实施：投标人应组织多个专业普查小组，每组人员沿堤防一字形排开，进行无死角的地毯式巡查。</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（2）普查内容：重点查找并记录白蚁的泥被、泥线、分飞孔；獾、鼠等动物的洞穴、脚印、粪便等痕迹。</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（3）记录要求：对所有发现的有害生物痕迹，需立即在现场做好醒目标示和详细记录，包括定位、桩号、危害迹象描述并拍摄水印相机照片。</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2、引诱桩监测法</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（1）设置规格：采用松木监测引诱桩，规格为地下埋深50厘米，地上高度50厘米。</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（2）设置标准：</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1）在普查中发现已有白蚁痕迹的堤段，立即设置1根引诱桩。</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2）在未发现明显痕迹的堤段，按每200米设置1根的密度进行布防。</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（3）数量要求：全项目设置引诱桩总数不低于2100个。</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（4）管理与记录：每根引诱桩须设置醒目的警示标识牌。其设置位置、设置时间及初始状态需用水印相机记录存档，并定期检查、记录引诱情况。</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3、地下引诱装置监测法</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（1）设置规格：埋设规格不低于25cm×13cm×8cm的地下型引诱装置。</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（2）饵料配置： 每个装置内放置引诱块不少于3块，引诱棒不少于2根。</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（3）设置标准：</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1）在发现白蚁痕迹的堤段，立即设置1个。</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2）在未发现痕迹的堤段，按每500米设置1个的密度布设。</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（4）数量要求：全项目设置地下引诱装置总数不低于800个。</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（5）管理与记录：每个装置点需设置警示标识牌，其埋设位置与初始状态需用水印相机记录。对引诱到白蚁的装置，需进行白蚁种类分析、记录，并立即开展灭治处理。</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4、仪器探测法</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（1）结合人工普查结果，对危害迹象明显的堤段、或通过引诱装置发现活体白蚁的堤段，运用白蚁隐患探测仪进行详细探测。</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（2）使用仪器探测确定深层蚁巢的位置、大小及埋深，验证人工普查的准确性，为后续的灌浆、开挖等根治性治理措施提供精确依据。</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3.2.3 记录与管理要求</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1、全过程记录：普查、监测、治理各环节均需详实记录，内容包括点位信息、动物种类、危害情况、处理措施、设备参数等，所有记录需真实可追溯；</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2、台账管理：建立“普查-治理-监测”全周期台账，实行问题销号制度，定期整理分析数据，编写普查治理报告。</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3.3 长江重点堤段安全健康评估要求</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3.3.1 报告编制依据与标准</w:t>
            </w:r>
            <w:r/>
          </w:p>
          <w:p>
            <w:pPr>
              <w:pStyle w:val="777"/>
              <w:spacing w:beforeAutospacing="0" w:afterAutospacing="0" w:line="440" w:lineRule="exact"/>
              <w:rPr>
                <w:rFonts w:ascii="Times New Roman" w:hAnsi="Times New Roman"/>
                <w:i/>
                <w:iCs/>
                <w:color w:val="000000"/>
                <w:highlight w:val="none"/>
                <w:u w:val="single"/>
              </w:rPr>
            </w:pPr>
            <w:r>
              <w:rPr>
                <w:rFonts w:ascii="Times New Roman" w:hAnsi="Times New Roman"/>
                <w:i/>
                <w:iCs/>
                <w:color w:val="000000"/>
                <w:sz w:val="21"/>
                <w:szCs w:val="21"/>
                <w:highlight w:val="none"/>
                <w:u w:val="single"/>
              </w:rPr>
              <w:t xml:space="preserve">本次评估遵循《堤防工程安全评价导则》（SL/Z 679-2015）的技术路线、工作内容和方法。</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3.3.2 评估要求</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1、现状调查与分析要求</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（1）基础资料收集</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1）系统收集并审阅评估堤段的工程地质勘察报告、原始设计图纸与说明、竣工图、历年加固与大修记录、沉降观测资料、历年安全鉴定报告及运行管理档案。</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2）对资料的完整性、可靠性进行分析，明确缺失项并进行补充调查。</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（2）工程外观质量调查与测量</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1）对堤防进行现场实地调查与测量。</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2）采用断面测量法，每100米测量一个横断面，共计50个断面。精确测绘堤防的断面轮廓尺寸、堤顶高程。</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3）详细检查并记录堤防裂缝、渗漏迹象、护坡损坏、混凝土碳化与剥蚀、沉降缝止水完好情况，以及交叉建筑物与堤防的结合部位状态。</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（3）内部隐患专项探测</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1）直接关联白蚁防治项目，重点验证防治措施（如灌浆、开挖回填）的效果，并探测防治后堤身是否仍存在空洞、松散体等隐患。</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2）对5公里评估堤段，特别是已完成白蚁治理的区域，进行连续性或重点布点的内部探测。</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3）采用高密度电阻率法、探地雷达等有效的物探手段。</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（4）地质勘探</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1）沿5公里堤段，选择3-4个代表性地质断面（约间隔2公里），每个断面布设3个钻孔，共计12孔。</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2）钻孔深度应达到堤基以下堤身高度的1.5～2.0倍。若遇深厚透水层或软土层，孔深须满足渗流与稳定分析要求；基岩段应揭穿强风化层。</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3）获取堤身填土和堤基土层的物理力学指标，为安全复核提供准确参数。</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2、安全复核计算分析要求</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（1）防洪标准复核：复核堤防当前的防洪能力是否满足现行规范要求的设计洪水标准。</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（2）渗流安全性复核：建立典型断面模型，利用勘察获取的渗透系数等进行渗流计算，分析在设计水位下堤身及堤基的渗透坡降，判断渗透稳定性。</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（3）结构安全性复核：进行抗滑稳定计算，评估堤防边坡（特别是临水坡和背水坡）在各种工况下的稳定性。</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（4）完成运行管理评价。</w:t>
            </w:r>
            <w:r/>
          </w:p>
        </w:tc>
      </w:tr>
      <w:tr>
        <w:trPr/>
        <w:tc>
          <w:tcPr>
            <w:tcBorders>
              <w:bottom w:val="single" w:color="000000" w:sz="4" w:space="0"/>
            </w:tcBorders>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Borders>
              <w:bottom w:val="single" w:color="000000" w:sz="4" w:space="0"/>
            </w:tcBorders>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Borders>
              <w:bottom w:val="single" w:color="000000" w:sz="4" w:space="0"/>
            </w:tcBorders>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3.3.3 报告编制成果与交付要求</w:t>
            </w:r>
            <w:r/>
          </w:p>
          <w:p>
            <w:pPr>
              <w:pStyle w:val="777"/>
              <w:spacing w:beforeAutospacing="0" w:afterAutospacing="0" w:line="440" w:lineRule="exact"/>
              <w:rPr>
                <w:rFonts w:ascii="Times New Roman" w:hAnsi="Times New Roman"/>
                <w:i/>
                <w:iCs/>
                <w:color w:val="000000"/>
                <w:highlight w:val="none"/>
                <w:u w:val="single"/>
              </w:rPr>
            </w:pPr>
            <w:r>
              <w:rPr>
                <w:rFonts w:ascii="Times New Roman" w:hAnsi="Times New Roman"/>
                <w:i/>
                <w:iCs/>
                <w:color w:val="000000"/>
                <w:highlight w:val="none"/>
                <w:u w:val="single"/>
              </w:rPr>
              <w:t xml:space="preserve">最终交付成果须是一套符合导则规定的系列报告，包括：</w:t>
            </w:r>
            <w:r/>
          </w:p>
          <w:p>
            <w:pPr>
              <w:pStyle w:val="777"/>
              <w:spacing w:beforeAutospacing="0" w:afterAutospacing="0" w:line="440" w:lineRule="exact"/>
              <w:rPr>
                <w:rFonts w:ascii="Times New Roman" w:hAnsi="Times New Roman"/>
                <w:i/>
                <w:iCs/>
                <w:color w:val="000000"/>
                <w:highlight w:val="none"/>
                <w:u w:val="single"/>
              </w:rPr>
            </w:pPr>
            <w:r>
              <w:rPr>
                <w:rFonts w:ascii="Times New Roman" w:hAnsi="Times New Roman"/>
                <w:i/>
                <w:iCs/>
                <w:color w:val="000000"/>
                <w:highlight w:val="none"/>
                <w:u w:val="single"/>
              </w:rPr>
              <w:t xml:space="preserve">1、《堤防安全现状调查分析报告》</w:t>
            </w:r>
            <w:r/>
          </w:p>
          <w:p>
            <w:pPr>
              <w:pStyle w:val="777"/>
              <w:spacing w:beforeAutospacing="0" w:afterAutospacing="0" w:line="440" w:lineRule="exact"/>
              <w:rPr>
                <w:rFonts w:ascii="Times New Roman" w:hAnsi="Times New Roman"/>
                <w:i/>
                <w:iCs/>
                <w:color w:val="000000"/>
                <w:highlight w:val="none"/>
                <w:u w:val="single"/>
              </w:rPr>
            </w:pPr>
            <w:r>
              <w:rPr>
                <w:rFonts w:ascii="Times New Roman" w:hAnsi="Times New Roman"/>
                <w:i/>
                <w:iCs/>
                <w:color w:val="000000"/>
                <w:highlight w:val="none"/>
                <w:u w:val="single"/>
              </w:rPr>
              <w:t xml:space="preserve">（1）阐述基础资料、外观调查结果、内部隐患探测成果、地质勘探成果及交叉建筑物状况。</w:t>
            </w:r>
            <w:r/>
          </w:p>
          <w:p>
            <w:pPr>
              <w:pStyle w:val="777"/>
              <w:spacing w:beforeAutospacing="0" w:afterAutospacing="0" w:line="440" w:lineRule="exact"/>
              <w:rPr>
                <w:rFonts w:ascii="Times New Roman" w:hAnsi="Times New Roman"/>
                <w:i/>
                <w:iCs/>
                <w:color w:val="000000"/>
                <w:highlight w:val="none"/>
                <w:u w:val="single"/>
              </w:rPr>
            </w:pPr>
            <w:r>
              <w:rPr>
                <w:rFonts w:ascii="Times New Roman" w:hAnsi="Times New Roman"/>
                <w:i/>
                <w:iCs/>
                <w:color w:val="000000"/>
                <w:highlight w:val="none"/>
                <w:u w:val="single"/>
              </w:rPr>
              <w:t xml:space="preserve">（2）应包括测量断面图、隐患探测成果图、钻孔柱状图、现场照片集等。</w:t>
            </w:r>
            <w:r/>
          </w:p>
          <w:p>
            <w:pPr>
              <w:pStyle w:val="777"/>
              <w:spacing w:beforeAutospacing="0" w:afterAutospacing="0" w:line="440" w:lineRule="exact"/>
              <w:rPr>
                <w:rFonts w:ascii="Times New Roman" w:hAnsi="Times New Roman"/>
                <w:i/>
                <w:iCs/>
                <w:color w:val="000000"/>
                <w:highlight w:val="none"/>
                <w:u w:val="single"/>
              </w:rPr>
            </w:pPr>
            <w:r>
              <w:rPr>
                <w:rFonts w:ascii="Times New Roman" w:hAnsi="Times New Roman"/>
                <w:i/>
                <w:iCs/>
                <w:color w:val="000000"/>
                <w:highlight w:val="none"/>
                <w:u w:val="single"/>
              </w:rPr>
              <w:t xml:space="preserve">2、《堤防安全复核计算分析报告》</w:t>
            </w:r>
            <w:r/>
          </w:p>
          <w:p>
            <w:pPr>
              <w:pStyle w:val="777"/>
              <w:spacing w:beforeAutospacing="0" w:afterAutospacing="0" w:line="440" w:lineRule="exact"/>
              <w:rPr>
                <w:rFonts w:ascii="Times New Roman" w:hAnsi="Times New Roman"/>
                <w:i/>
                <w:iCs/>
                <w:color w:val="000000"/>
                <w:highlight w:val="none"/>
                <w:u w:val="single"/>
              </w:rPr>
            </w:pPr>
            <w:r>
              <w:rPr>
                <w:rFonts w:ascii="Times New Roman" w:hAnsi="Times New Roman"/>
                <w:i/>
                <w:iCs/>
                <w:color w:val="000000"/>
                <w:highlight w:val="none"/>
                <w:u w:val="single"/>
              </w:rPr>
              <w:t xml:space="preserve">（1）清晰呈现防洪标准、渗流安全、结构安全的复核计算过程、模型、参数选取依据及计算结果。</w:t>
            </w:r>
            <w:r/>
          </w:p>
          <w:p>
            <w:pPr>
              <w:pStyle w:val="777"/>
              <w:spacing w:beforeAutospacing="0" w:afterAutospacing="0" w:line="440" w:lineRule="exact"/>
              <w:rPr>
                <w:rFonts w:ascii="Times New Roman" w:hAnsi="Times New Roman"/>
                <w:i/>
                <w:iCs/>
                <w:color w:val="000000"/>
                <w:highlight w:val="none"/>
                <w:u w:val="single"/>
              </w:rPr>
            </w:pPr>
            <w:r>
              <w:rPr>
                <w:rFonts w:ascii="Times New Roman" w:hAnsi="Times New Roman"/>
                <w:i/>
                <w:iCs/>
                <w:color w:val="000000"/>
                <w:highlight w:val="none"/>
                <w:u w:val="single"/>
              </w:rPr>
              <w:t xml:space="preserve">（2）明确给出各项复核是否满足安全要求的定量结论。</w:t>
            </w:r>
            <w:r/>
          </w:p>
          <w:p>
            <w:pPr>
              <w:pStyle w:val="777"/>
              <w:spacing w:beforeAutospacing="0" w:afterAutospacing="0" w:line="440" w:lineRule="exact"/>
              <w:rPr>
                <w:rFonts w:ascii="Times New Roman" w:hAnsi="Times New Roman"/>
                <w:i/>
                <w:iCs/>
                <w:color w:val="000000"/>
                <w:highlight w:val="none"/>
                <w:u w:val="single"/>
              </w:rPr>
            </w:pPr>
            <w:r>
              <w:rPr>
                <w:rFonts w:ascii="Times New Roman" w:hAnsi="Times New Roman"/>
                <w:i/>
                <w:iCs/>
                <w:color w:val="000000"/>
                <w:highlight w:val="none"/>
                <w:u w:val="single"/>
              </w:rPr>
              <w:t xml:space="preserve">3、《堤防安全综合评价报告》</w:t>
            </w:r>
            <w:r/>
          </w:p>
          <w:p>
            <w:pPr>
              <w:pStyle w:val="777"/>
              <w:spacing w:beforeAutospacing="0" w:afterAutospacing="0" w:line="440" w:lineRule="exact"/>
              <w:rPr>
                <w:rFonts w:ascii="Times New Roman" w:hAnsi="Times New Roman"/>
                <w:i/>
                <w:iCs/>
                <w:color w:val="000000"/>
                <w:highlight w:val="none"/>
                <w:u w:val="single"/>
              </w:rPr>
            </w:pPr>
            <w:r>
              <w:rPr>
                <w:rFonts w:ascii="Times New Roman" w:hAnsi="Times New Roman"/>
                <w:i/>
                <w:iCs/>
                <w:color w:val="000000"/>
                <w:highlight w:val="none"/>
                <w:u w:val="single"/>
              </w:rPr>
              <w:t xml:space="preserve">（1）此为最终的综合报告。应概述全部工作，汇总现状调查与复核计算的主要结论，对工程质量、运行管理进行评价，并进行工程安全综合评价，确定堤防的安全类别。</w:t>
            </w:r>
            <w:r/>
          </w:p>
          <w:p>
            <w:pPr>
              <w:pStyle w:val="777"/>
              <w:spacing w:beforeAutospacing="0" w:afterAutospacing="0" w:line="440" w:lineRule="exact"/>
              <w:rPr>
                <w:rFonts w:ascii="Times New Roman" w:hAnsi="Times New Roman"/>
                <w:i/>
                <w:iCs/>
                <w:color w:val="000000"/>
                <w:highlight w:val="none"/>
                <w:u w:val="single"/>
              </w:rPr>
            </w:pPr>
            <w:r>
              <w:rPr>
                <w:rFonts w:ascii="Times New Roman" w:hAnsi="Times New Roman"/>
                <w:i/>
                <w:iCs/>
                <w:color w:val="000000"/>
                <w:highlight w:val="none"/>
                <w:u w:val="single"/>
              </w:rPr>
              <w:t xml:space="preserve">（2）明确指出堤防存在的主要安全问题，并对白蚁防治效果做出专项评价，提出针对性的治理措施与运行管理建议。</w:t>
            </w:r>
            <w:r/>
          </w:p>
        </w:tc>
      </w:tr>
      <w:tr>
        <w:trPr/>
        <w:tc>
          <w:tcPr>
            <w:tcMar>
              <w:left w:w="108" w:type="dxa"/>
              <w:top w:w="100" w:type="dxa"/>
              <w:right w:w="108" w:type="dxa"/>
              <w:bottom w:w="100" w:type="dxa"/>
            </w:tcMar>
            <w:tcW w:w="812" w:type="dxa"/>
            <w:vAlign w:val="center"/>
            <w:vMerge w:val="restart"/>
            <w:textDirection w:val="lrTb"/>
            <w:noWrap w:val="false"/>
          </w:tcPr>
          <w:p>
            <w:pPr>
              <w:pStyle w:val="1015"/>
              <w:jc w:val="center"/>
              <w:spacing w:line="440" w:lineRule="exact"/>
              <w:rPr>
                <w:rFonts w:eastAsia="宋体"/>
                <w:highlight w:val="none"/>
              </w:rPr>
            </w:pPr>
            <w:r>
              <w:rPr>
                <w:rFonts w:eastAsia="宋体"/>
                <w:highlight w:val="none"/>
              </w:rPr>
              <w:t xml:space="preserve">4</w:t>
            </w:r>
            <w:r/>
          </w:p>
        </w:tc>
        <w:tc>
          <w:tcPr>
            <w:tcMar>
              <w:left w:w="108" w:type="dxa"/>
              <w:top w:w="100" w:type="dxa"/>
              <w:right w:w="108" w:type="dxa"/>
              <w:bottom w:w="100" w:type="dxa"/>
            </w:tcMar>
            <w:tcW w:w="766" w:type="dxa"/>
            <w:vAlign w:val="center"/>
            <w:vMerge w:val="restart"/>
            <w:textDirection w:val="lrTb"/>
            <w:noWrap w:val="false"/>
          </w:tcPr>
          <w:p>
            <w:pPr>
              <w:pStyle w:val="1015"/>
              <w:spacing w:line="440" w:lineRule="exact"/>
              <w:rPr>
                <w:rFonts w:eastAsia="宋体"/>
                <w:highlight w:val="none"/>
              </w:rPr>
            </w:pPr>
            <w:r>
              <w:rPr>
                <w:rFonts w:eastAsia="宋体"/>
                <w:highlight w:val="none"/>
              </w:rPr>
              <w:t xml:space="preserve">信息化智能预警监测装置</w:t>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i/>
                <w:iCs/>
                <w:color w:val="000000"/>
                <w:highlight w:val="none"/>
                <w:u w:val="single"/>
              </w:rPr>
              <w:t xml:space="preserve">投标人针对本项目须提供给</w:t>
            </w:r>
            <w:r>
              <w:rPr>
                <w:rFonts w:hint="eastAsia" w:ascii="Times New Roman" w:hAnsi="Times New Roman"/>
                <w:i/>
                <w:iCs/>
                <w:color w:val="000000"/>
                <w:highlight w:val="none"/>
                <w:u w:val="single"/>
              </w:rPr>
              <w:t xml:space="preserve">招标人</w:t>
            </w:r>
            <w:r>
              <w:rPr>
                <w:rFonts w:ascii="Times New Roman" w:hAnsi="Times New Roman"/>
                <w:i/>
                <w:iCs/>
                <w:color w:val="000000"/>
                <w:highlight w:val="none"/>
                <w:u w:val="single"/>
              </w:rPr>
              <w:t xml:space="preserve">一套</w:t>
            </w:r>
            <w:r>
              <w:rPr>
                <w:rStyle w:val="1022"/>
                <w:rFonts w:ascii="Times New Roman" w:hAnsi="Times New Roman"/>
                <w:i/>
                <w:iCs/>
                <w:color w:val="000000"/>
                <w:highlight w:val="none"/>
                <w:u w:val="single"/>
              </w:rPr>
              <w:t xml:space="preserve">独立的存储平台、独立显示平台、独立账号（1年使用权）的信息化智能预警监测装置系统，信息化智能预警监测装置基于物联网云端平台通过移动通信网络进行数据上传，每个预警监测装置内传感器探测到白蚁进入，会自动上传数据到系统平台报警，每个预警监测装置点做好警示提醒标识标牌，每台点位水印相机记录。投标人须提供流量传输、系统升级维护等服务，信息化智能预警监测装置设备提供三年免费质保。</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i/>
                <w:iCs/>
                <w:color w:val="000000"/>
                <w:highlight w:val="none"/>
                <w:u w:val="single"/>
              </w:rPr>
            </w:pPr>
            <w:r>
              <w:rPr>
                <w:rFonts w:ascii="Times New Roman" w:hAnsi="Times New Roman"/>
                <w:color w:val="000000"/>
                <w:highlight w:val="none"/>
              </w:rPr>
              <w:t xml:space="preserve">4.1信息化智能预警监测装置技术参数</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tbl>
            <w:tblPr>
              <w:tblStyle w:val="757"/>
              <w:tblW w:w="7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77"/>
              <w:gridCol w:w="962"/>
              <w:gridCol w:w="6103"/>
            </w:tblGrid>
            <w:tr>
              <w:trPr>
                <w:jc w:val="center"/>
                <w:trHeight w:val="565"/>
                <w:tblHeader/>
              </w:trPr>
              <w:tc>
                <w:tcPr>
                  <w:tcW w:w="677" w:type="dxa"/>
                  <w:vAlign w:val="center"/>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序号</w:t>
                  </w:r>
                  <w:r/>
                </w:p>
              </w:tc>
              <w:tc>
                <w:tcPr>
                  <w:tcW w:w="962" w:type="dxa"/>
                  <w:vAlign w:val="center"/>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名称</w:t>
                  </w:r>
                  <w:r/>
                </w:p>
              </w:tc>
              <w:tc>
                <w:tcPr>
                  <w:tcW w:w="6103" w:type="dxa"/>
                  <w:vAlign w:val="center"/>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参数要求</w:t>
                  </w:r>
                  <w:r/>
                </w:p>
              </w:tc>
            </w:tr>
            <w:tr>
              <w:trPr>
                <w:jc w:val="center"/>
                <w:trHeight w:val="565"/>
              </w:trPr>
              <w:tc>
                <w:tcPr>
                  <w:tcW w:w="677" w:type="dxa"/>
                  <w:vAlign w:val="center"/>
                  <w:vMerge w:val="restart"/>
                  <w:textDirection w:val="lrTb"/>
                  <w:noWrap w:val="false"/>
                </w:tcPr>
                <w:p>
                  <w:pPr>
                    <w:pStyle w:val="1016"/>
                    <w:jc w:val="center"/>
                    <w:spacing w:line="440" w:lineRule="exact"/>
                    <w:rPr>
                      <w:rFonts w:ascii="Times New Roman" w:hAnsi="Times New Roman"/>
                      <w:highlight w:val="none"/>
                    </w:rPr>
                  </w:pPr>
                  <w:r>
                    <w:rPr>
                      <w:rFonts w:ascii="Times New Roman" w:hAnsi="Times New Roman"/>
                      <w:highlight w:val="none"/>
                    </w:rPr>
                    <w:t xml:space="preserve">1</w:t>
                  </w:r>
                  <w:r/>
                </w:p>
              </w:tc>
              <w:tc>
                <w:tcPr>
                  <w:tcW w:w="962" w:type="dxa"/>
                  <w:vAlign w:val="center"/>
                  <w:vMerge w:val="restart"/>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壳体要求</w:t>
                  </w:r>
                  <w:r/>
                </w:p>
              </w:tc>
              <w:tc>
                <w:tcPr>
                  <w:tcW w:w="6103" w:type="dxa"/>
                  <w:vAlign w:val="center"/>
                  <w:textDirection w:val="lrTb"/>
                  <w:noWrap w:val="false"/>
                </w:tcPr>
                <w:p>
                  <w:pPr>
                    <w:pStyle w:val="1016"/>
                    <w:spacing w:line="440" w:lineRule="exact"/>
                    <w:rPr>
                      <w:rFonts w:ascii="Times New Roman" w:hAnsi="Times New Roman"/>
                      <w:i/>
                      <w:iCs/>
                      <w:highlight w:val="none"/>
                      <w:u w:val="single"/>
                    </w:rPr>
                  </w:pPr>
                  <w:r>
                    <w:rPr>
                      <w:rFonts w:ascii="Times New Roman" w:hAnsi="Times New Roman"/>
                      <w:i/>
                      <w:iCs/>
                      <w:spacing w:val="-2"/>
                      <w:highlight w:val="none"/>
                      <w:u w:val="single"/>
                    </w:rPr>
                    <w:t xml:space="preserve">塑料外壳长度不应小于150mm。</w:t>
                  </w:r>
                  <w:r/>
                </w:p>
              </w:tc>
            </w:tr>
            <w:tr>
              <w:trPr>
                <w:jc w:val="center"/>
                <w:trHeight w:val="565"/>
              </w:trPr>
              <w:tc>
                <w:tcPr>
                  <w:tcW w:w="677" w:type="dxa"/>
                  <w:vAlign w:val="center"/>
                  <w:vMerge w:val="continue"/>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62" w:type="dxa"/>
                  <w:vAlign w:val="center"/>
                  <w:vMerge w:val="continue"/>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6103" w:type="dxa"/>
                  <w:vAlign w:val="center"/>
                  <w:textDirection w:val="lrTb"/>
                  <w:noWrap w:val="false"/>
                </w:tcPr>
                <w:p>
                  <w:pPr>
                    <w:pStyle w:val="1016"/>
                    <w:spacing w:line="440" w:lineRule="exact"/>
                    <w:rPr>
                      <w:rFonts w:ascii="Times New Roman" w:hAnsi="Times New Roman"/>
                      <w:i/>
                      <w:iCs/>
                      <w:highlight w:val="none"/>
                      <w:u w:val="single"/>
                    </w:rPr>
                  </w:pPr>
                  <w:r>
                    <w:rPr>
                      <w:rFonts w:ascii="Times New Roman" w:hAnsi="Times New Roman"/>
                      <w:i/>
                      <w:iCs/>
                      <w:highlight w:val="none"/>
                      <w:u w:val="single"/>
                    </w:rPr>
                    <w:t xml:space="preserve">内置饵料的体积不小于300000mm³。</w:t>
                  </w:r>
                  <w:r/>
                </w:p>
              </w:tc>
            </w:tr>
            <w:tr>
              <w:trPr>
                <w:jc w:val="center"/>
                <w:trHeight w:val="565"/>
              </w:trPr>
              <w:tc>
                <w:tcPr>
                  <w:tcW w:w="677" w:type="dxa"/>
                  <w:vAlign w:val="center"/>
                  <w:vMerge w:val="continue"/>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62" w:type="dxa"/>
                  <w:vAlign w:val="center"/>
                  <w:vMerge w:val="continue"/>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6103" w:type="dxa"/>
                  <w:vAlign w:val="center"/>
                  <w:textDirection w:val="lrTb"/>
                  <w:noWrap w:val="false"/>
                </w:tcPr>
                <w:p>
                  <w:pPr>
                    <w:pStyle w:val="1016"/>
                    <w:spacing w:line="440" w:lineRule="exact"/>
                    <w:rPr>
                      <w:rFonts w:ascii="Times New Roman" w:hAnsi="Times New Roman"/>
                      <w:i/>
                      <w:iCs/>
                      <w:highlight w:val="none"/>
                      <w:u w:val="single"/>
                    </w:rPr>
                  </w:pPr>
                  <w:r>
                    <w:rPr>
                      <w:rFonts w:ascii="Times New Roman" w:hAnsi="Times New Roman"/>
                      <w:i/>
                      <w:iCs/>
                      <w:spacing w:val="-3"/>
                      <w:highlight w:val="none"/>
                      <w:u w:val="single"/>
                    </w:rPr>
                    <w:t xml:space="preserve">装置外壳应设置不小于5mm的白蚁</w:t>
                  </w:r>
                  <w:r>
                    <w:rPr>
                      <w:rFonts w:ascii="Times New Roman" w:hAnsi="Times New Roman"/>
                      <w:i/>
                      <w:iCs/>
                      <w:spacing w:val="-1"/>
                      <w:highlight w:val="none"/>
                      <w:u w:val="single"/>
                    </w:rPr>
                    <w:t xml:space="preserve">进出通道。</w:t>
                  </w:r>
                  <w:r/>
                </w:p>
              </w:tc>
            </w:tr>
            <w:tr>
              <w:trPr>
                <w:jc w:val="center"/>
                <w:trHeight w:val="565"/>
              </w:trPr>
              <w:tc>
                <w:tcPr>
                  <w:tcW w:w="677" w:type="dxa"/>
                  <w:vAlign w:val="center"/>
                  <w:textDirection w:val="lrTb"/>
                  <w:noWrap w:val="false"/>
                </w:tcPr>
                <w:p>
                  <w:pPr>
                    <w:pStyle w:val="1016"/>
                    <w:jc w:val="center"/>
                    <w:spacing w:line="440" w:lineRule="exact"/>
                    <w:rPr>
                      <w:rFonts w:ascii="Times New Roman" w:hAnsi="Times New Roman"/>
                      <w:highlight w:val="none"/>
                    </w:rPr>
                  </w:pPr>
                  <w:r>
                    <w:rPr>
                      <w:rFonts w:ascii="Times New Roman" w:hAnsi="Times New Roman"/>
                      <w:highlight w:val="none"/>
                    </w:rPr>
                    <w:t xml:space="preserve">2</w:t>
                  </w:r>
                  <w:r/>
                </w:p>
              </w:tc>
              <w:tc>
                <w:tcPr>
                  <w:tcW w:w="962" w:type="dxa"/>
                  <w:vAlign w:val="center"/>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有效工作距离</w:t>
                  </w:r>
                  <w:r/>
                </w:p>
              </w:tc>
              <w:tc>
                <w:tcPr>
                  <w:tcW w:w="6103" w:type="dxa"/>
                  <w:vAlign w:val="center"/>
                  <w:textDirection w:val="lrTb"/>
                  <w:noWrap w:val="false"/>
                </w:tcPr>
                <w:p>
                  <w:pPr>
                    <w:pStyle w:val="1016"/>
                    <w:spacing w:line="440" w:lineRule="exact"/>
                    <w:rPr>
                      <w:rFonts w:ascii="Times New Roman" w:hAnsi="Times New Roman"/>
                      <w:highlight w:val="none"/>
                    </w:rPr>
                  </w:pPr>
                  <w:r>
                    <w:rPr>
                      <w:rFonts w:ascii="Times New Roman" w:hAnsi="Times New Roman"/>
                      <w:spacing w:val="13"/>
                      <w:highlight w:val="none"/>
                    </w:rPr>
                    <w:t xml:space="preserve">监测装置与蚁情采集器的有效工</w:t>
                  </w:r>
                  <w:r>
                    <w:rPr>
                      <w:rFonts w:ascii="Times New Roman" w:hAnsi="Times New Roman"/>
                      <w:spacing w:val="-2"/>
                      <w:highlight w:val="none"/>
                    </w:rPr>
                    <w:t xml:space="preserve">作距离不低于30cm。</w:t>
                  </w:r>
                  <w:r/>
                </w:p>
              </w:tc>
            </w:tr>
            <w:tr>
              <w:trPr>
                <w:jc w:val="center"/>
                <w:trHeight w:val="565"/>
              </w:trPr>
              <w:tc>
                <w:tcPr>
                  <w:tcW w:w="677" w:type="dxa"/>
                  <w:vAlign w:val="center"/>
                  <w:textDirection w:val="lrTb"/>
                  <w:noWrap w:val="false"/>
                </w:tcPr>
                <w:p>
                  <w:pPr>
                    <w:pStyle w:val="1016"/>
                    <w:jc w:val="center"/>
                    <w:spacing w:line="440" w:lineRule="exact"/>
                    <w:rPr>
                      <w:rFonts w:ascii="Times New Roman" w:hAnsi="Times New Roman"/>
                      <w:highlight w:val="none"/>
                    </w:rPr>
                  </w:pPr>
                  <w:r>
                    <w:rPr>
                      <w:rFonts w:ascii="Times New Roman" w:hAnsi="Times New Roman"/>
                      <w:highlight w:val="none"/>
                    </w:rPr>
                    <w:t xml:space="preserve">3</w:t>
                  </w:r>
                  <w:r/>
                </w:p>
              </w:tc>
              <w:tc>
                <w:tcPr>
                  <w:tcW w:w="962" w:type="dxa"/>
                  <w:vAlign w:val="center"/>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障碍物性能</w:t>
                  </w:r>
                  <w:r/>
                </w:p>
              </w:tc>
              <w:tc>
                <w:tcPr>
                  <w:tcW w:w="6103" w:type="dxa"/>
                  <w:vAlign w:val="center"/>
                  <w:textDirection w:val="lrTb"/>
                  <w:noWrap w:val="false"/>
                </w:tcPr>
                <w:p>
                  <w:pPr>
                    <w:pStyle w:val="1016"/>
                    <w:spacing w:line="440" w:lineRule="exact"/>
                    <w:rPr>
                      <w:rFonts w:ascii="Times New Roman" w:hAnsi="Times New Roman"/>
                      <w:i/>
                      <w:iCs/>
                      <w:highlight w:val="none"/>
                      <w:u w:val="single"/>
                    </w:rPr>
                  </w:pPr>
                  <w:r>
                    <w:rPr>
                      <w:rFonts w:ascii="Times New Roman" w:hAnsi="Times New Roman"/>
                      <w:i/>
                      <w:iCs/>
                      <w:spacing w:val="-1"/>
                      <w:highlight w:val="none"/>
                      <w:u w:val="single"/>
                    </w:rPr>
                    <w:t xml:space="preserve">监测装置埋设安装后，覆土不超过</w:t>
                  </w:r>
                  <w:r>
                    <w:rPr>
                      <w:rFonts w:ascii="Times New Roman" w:hAnsi="Times New Roman"/>
                      <w:i/>
                      <w:iCs/>
                      <w:spacing w:val="-2"/>
                      <w:highlight w:val="none"/>
                      <w:u w:val="single"/>
                    </w:rPr>
                    <w:t xml:space="preserve">20cm，蚁情采集器能正常读取信息。</w:t>
                  </w:r>
                  <w:r/>
                </w:p>
              </w:tc>
            </w:tr>
            <w:tr>
              <w:trPr>
                <w:jc w:val="center"/>
                <w:trHeight w:val="565"/>
              </w:trPr>
              <w:tc>
                <w:tcPr>
                  <w:tcW w:w="677" w:type="dxa"/>
                  <w:vAlign w:val="center"/>
                  <w:textDirection w:val="lrTb"/>
                  <w:noWrap w:val="false"/>
                </w:tcPr>
                <w:p>
                  <w:pPr>
                    <w:pStyle w:val="1016"/>
                    <w:jc w:val="center"/>
                    <w:spacing w:line="440" w:lineRule="exact"/>
                    <w:rPr>
                      <w:rFonts w:ascii="Times New Roman" w:hAnsi="Times New Roman"/>
                      <w:highlight w:val="none"/>
                    </w:rPr>
                  </w:pPr>
                  <w:r>
                    <w:rPr>
                      <w:rFonts w:ascii="Times New Roman" w:hAnsi="Times New Roman"/>
                      <w:highlight w:val="none"/>
                    </w:rPr>
                    <w:t xml:space="preserve">4</w:t>
                  </w:r>
                  <w:r/>
                </w:p>
              </w:tc>
              <w:tc>
                <w:tcPr>
                  <w:tcW w:w="962" w:type="dxa"/>
                  <w:vAlign w:val="center"/>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防水性</w:t>
                  </w:r>
                  <w:r/>
                </w:p>
              </w:tc>
              <w:tc>
                <w:tcPr>
                  <w:tcW w:w="6103" w:type="dxa"/>
                  <w:vAlign w:val="center"/>
                  <w:textDirection w:val="lrTb"/>
                  <w:noWrap w:val="false"/>
                </w:tcPr>
                <w:p>
                  <w:pPr>
                    <w:pStyle w:val="1016"/>
                    <w:spacing w:line="440" w:lineRule="exact"/>
                    <w:rPr>
                      <w:rFonts w:ascii="Times New Roman" w:hAnsi="Times New Roman"/>
                      <w:highlight w:val="none"/>
                    </w:rPr>
                  </w:pPr>
                  <w:r>
                    <w:rPr>
                      <w:rStyle w:val="1022"/>
                      <w:rFonts w:ascii="Times New Roman" w:hAnsi="Times New Roman"/>
                      <w:highlight w:val="none"/>
                    </w:rPr>
                    <w:t xml:space="preserve">监测装置在常温水中连续浸泡不小于8小时后，应能正常工作</w:t>
                  </w:r>
                  <w:r/>
                </w:p>
              </w:tc>
            </w:tr>
            <w:tr>
              <w:trPr>
                <w:jc w:val="center"/>
                <w:trHeight w:val="565"/>
              </w:trPr>
              <w:tc>
                <w:tcPr>
                  <w:tcW w:w="677" w:type="dxa"/>
                  <w:vAlign w:val="center"/>
                  <w:vMerge w:val="restart"/>
                  <w:textDirection w:val="lrTb"/>
                  <w:noWrap w:val="false"/>
                </w:tcPr>
                <w:p>
                  <w:pPr>
                    <w:pStyle w:val="1016"/>
                    <w:jc w:val="center"/>
                    <w:spacing w:line="440" w:lineRule="exact"/>
                    <w:rPr>
                      <w:rFonts w:ascii="Times New Roman" w:hAnsi="Times New Roman"/>
                      <w:highlight w:val="none"/>
                    </w:rPr>
                  </w:pPr>
                  <w:r>
                    <w:rPr>
                      <w:rFonts w:ascii="Times New Roman" w:hAnsi="Times New Roman"/>
                      <w:highlight w:val="none"/>
                    </w:rPr>
                    <w:t xml:space="preserve">5</w:t>
                  </w:r>
                  <w:r/>
                </w:p>
              </w:tc>
              <w:tc>
                <w:tcPr>
                  <w:tcW w:w="962" w:type="dxa"/>
                  <w:vAlign w:val="center"/>
                  <w:vMerge w:val="restart"/>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工作环境温度</w:t>
                  </w:r>
                  <w:r/>
                </w:p>
              </w:tc>
              <w:tc>
                <w:tcPr>
                  <w:tcW w:w="6103" w:type="dxa"/>
                  <w:vAlign w:val="center"/>
                  <w:textDirection w:val="lrTb"/>
                  <w:noWrap w:val="false"/>
                </w:tcPr>
                <w:p>
                  <w:pPr>
                    <w:pStyle w:val="1016"/>
                    <w:spacing w:line="440" w:lineRule="exact"/>
                    <w:rPr>
                      <w:rFonts w:ascii="Times New Roman" w:hAnsi="Times New Roman"/>
                      <w:i/>
                      <w:iCs/>
                      <w:highlight w:val="none"/>
                      <w:u w:val="single"/>
                    </w:rPr>
                  </w:pPr>
                  <w:r>
                    <w:rPr>
                      <w:rFonts w:ascii="Times New Roman" w:hAnsi="Times New Roman"/>
                      <w:i/>
                      <w:iCs/>
                      <w:spacing w:val="5"/>
                      <w:highlight w:val="none"/>
                      <w:u w:val="single"/>
                    </w:rPr>
                    <w:t xml:space="preserve">监测装置在温度-10℃~+80℃区</w:t>
                  </w:r>
                  <w:r>
                    <w:rPr>
                      <w:rFonts w:ascii="Times New Roman" w:hAnsi="Times New Roman"/>
                      <w:i/>
                      <w:iCs/>
                      <w:spacing w:val="-3"/>
                      <w:highlight w:val="none"/>
                      <w:u w:val="single"/>
                    </w:rPr>
                    <w:t xml:space="preserve">间内，应能正常工作。</w:t>
                  </w:r>
                  <w:r/>
                </w:p>
              </w:tc>
            </w:tr>
            <w:tr>
              <w:trPr>
                <w:jc w:val="center"/>
                <w:trHeight w:val="565"/>
              </w:trPr>
              <w:tc>
                <w:tcPr>
                  <w:tcW w:w="677" w:type="dxa"/>
                  <w:vAlign w:val="center"/>
                  <w:vMerge w:val="continue"/>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62" w:type="dxa"/>
                  <w:vAlign w:val="center"/>
                  <w:vMerge w:val="continue"/>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6103" w:type="dxa"/>
                  <w:vAlign w:val="center"/>
                  <w:textDirection w:val="lrTb"/>
                  <w:noWrap w:val="false"/>
                </w:tcPr>
                <w:p>
                  <w:pPr>
                    <w:pStyle w:val="1016"/>
                    <w:spacing w:line="440" w:lineRule="exact"/>
                    <w:rPr>
                      <w:rFonts w:ascii="Times New Roman" w:hAnsi="Times New Roman"/>
                      <w:i/>
                      <w:iCs/>
                      <w:highlight w:val="none"/>
                      <w:u w:val="single"/>
                    </w:rPr>
                  </w:pPr>
                  <w:r>
                    <w:rPr>
                      <w:rFonts w:ascii="Times New Roman" w:hAnsi="Times New Roman"/>
                      <w:i/>
                      <w:iCs/>
                      <w:spacing w:val="5"/>
                      <w:highlight w:val="none"/>
                      <w:u w:val="single"/>
                    </w:rPr>
                    <w:t xml:space="preserve">蚁情采集器在温度-5℃~+65℃区</w:t>
                  </w:r>
                  <w:r>
                    <w:rPr>
                      <w:rFonts w:ascii="Times New Roman" w:hAnsi="Times New Roman"/>
                      <w:i/>
                      <w:iCs/>
                      <w:spacing w:val="-3"/>
                      <w:highlight w:val="none"/>
                      <w:u w:val="single"/>
                    </w:rPr>
                    <w:t xml:space="preserve">间内，应能正常工作。</w:t>
                  </w:r>
                  <w:r/>
                </w:p>
              </w:tc>
            </w:tr>
            <w:tr>
              <w:trPr>
                <w:jc w:val="center"/>
                <w:trHeight w:val="565"/>
              </w:trPr>
              <w:tc>
                <w:tcPr>
                  <w:tcW w:w="677" w:type="dxa"/>
                  <w:vAlign w:val="center"/>
                  <w:textDirection w:val="lrTb"/>
                  <w:noWrap w:val="false"/>
                </w:tcPr>
                <w:p>
                  <w:pPr>
                    <w:pStyle w:val="1016"/>
                    <w:jc w:val="center"/>
                    <w:spacing w:line="440" w:lineRule="exact"/>
                    <w:rPr>
                      <w:rFonts w:ascii="Times New Roman" w:hAnsi="Times New Roman"/>
                      <w:highlight w:val="none"/>
                    </w:rPr>
                  </w:pPr>
                  <w:r>
                    <w:rPr>
                      <w:rFonts w:ascii="Times New Roman" w:hAnsi="Times New Roman"/>
                      <w:highlight w:val="none"/>
                    </w:rPr>
                    <w:t xml:space="preserve">6</w:t>
                  </w:r>
                  <w:r/>
                </w:p>
              </w:tc>
              <w:tc>
                <w:tcPr>
                  <w:tcW w:w="962" w:type="dxa"/>
                  <w:vAlign w:val="center"/>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低温性能</w:t>
                  </w:r>
                  <w:r/>
                </w:p>
              </w:tc>
              <w:tc>
                <w:tcPr>
                  <w:tcW w:w="6103" w:type="dxa"/>
                  <w:vAlign w:val="center"/>
                  <w:textDirection w:val="lrTb"/>
                  <w:noWrap w:val="false"/>
                </w:tcPr>
                <w:p>
                  <w:pPr>
                    <w:pStyle w:val="1016"/>
                    <w:spacing w:line="440" w:lineRule="exact"/>
                    <w:rPr>
                      <w:rFonts w:ascii="Times New Roman" w:hAnsi="Times New Roman"/>
                      <w:i/>
                      <w:iCs/>
                      <w:highlight w:val="none"/>
                      <w:u w:val="single"/>
                    </w:rPr>
                  </w:pPr>
                  <w:r>
                    <w:rPr>
                      <w:rFonts w:ascii="Times New Roman" w:hAnsi="Times New Roman"/>
                      <w:i/>
                      <w:iCs/>
                      <w:spacing w:val="-2"/>
                      <w:highlight w:val="none"/>
                      <w:u w:val="single"/>
                    </w:rPr>
                    <w:t xml:space="preserve">监测装置在-10℃环境中放置4小时后，应正常工作。</w:t>
                  </w:r>
                  <w:r/>
                </w:p>
              </w:tc>
            </w:tr>
            <w:tr>
              <w:trPr>
                <w:jc w:val="center"/>
                <w:trHeight w:val="565"/>
              </w:trPr>
              <w:tc>
                <w:tcPr>
                  <w:tcW w:w="677" w:type="dxa"/>
                  <w:vAlign w:val="center"/>
                  <w:textDirection w:val="lrTb"/>
                  <w:noWrap w:val="false"/>
                </w:tcPr>
                <w:p>
                  <w:pPr>
                    <w:pStyle w:val="1016"/>
                    <w:jc w:val="center"/>
                    <w:spacing w:line="440" w:lineRule="exact"/>
                    <w:rPr>
                      <w:rFonts w:ascii="Times New Roman" w:hAnsi="Times New Roman"/>
                      <w:highlight w:val="none"/>
                    </w:rPr>
                  </w:pPr>
                  <w:r>
                    <w:rPr>
                      <w:rFonts w:ascii="Times New Roman" w:hAnsi="Times New Roman"/>
                      <w:highlight w:val="none"/>
                    </w:rPr>
                    <w:t xml:space="preserve">7</w:t>
                  </w:r>
                  <w:r/>
                </w:p>
              </w:tc>
              <w:tc>
                <w:tcPr>
                  <w:tcW w:w="962" w:type="dxa"/>
                  <w:vAlign w:val="center"/>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高温性能</w:t>
                  </w:r>
                  <w:r/>
                </w:p>
              </w:tc>
              <w:tc>
                <w:tcPr>
                  <w:tcW w:w="6103" w:type="dxa"/>
                  <w:vAlign w:val="center"/>
                  <w:textDirection w:val="lrTb"/>
                  <w:noWrap w:val="false"/>
                </w:tcPr>
                <w:p>
                  <w:pPr>
                    <w:pStyle w:val="1016"/>
                    <w:spacing w:line="440" w:lineRule="exact"/>
                    <w:rPr>
                      <w:rFonts w:ascii="Times New Roman" w:hAnsi="Times New Roman"/>
                      <w:i/>
                      <w:iCs/>
                      <w:highlight w:val="none"/>
                      <w:u w:val="single"/>
                    </w:rPr>
                  </w:pPr>
                  <w:r>
                    <w:rPr>
                      <w:rFonts w:ascii="Times New Roman" w:hAnsi="Times New Roman"/>
                      <w:i/>
                      <w:iCs/>
                      <w:spacing w:val="-2"/>
                      <w:highlight w:val="none"/>
                      <w:u w:val="single"/>
                    </w:rPr>
                    <w:t xml:space="preserve">监测装置在80℃环境中放置4小时后，应正常工作。</w:t>
                  </w:r>
                  <w:r/>
                </w:p>
              </w:tc>
            </w:tr>
            <w:tr>
              <w:trPr>
                <w:jc w:val="center"/>
                <w:trHeight w:val="565"/>
              </w:trPr>
              <w:tc>
                <w:tcPr>
                  <w:tcW w:w="677" w:type="dxa"/>
                  <w:vAlign w:val="center"/>
                  <w:textDirection w:val="lrTb"/>
                  <w:noWrap w:val="false"/>
                </w:tcPr>
                <w:p>
                  <w:pPr>
                    <w:pStyle w:val="1016"/>
                    <w:jc w:val="center"/>
                    <w:spacing w:line="440" w:lineRule="exact"/>
                    <w:rPr>
                      <w:rFonts w:ascii="Times New Roman" w:hAnsi="Times New Roman"/>
                      <w:highlight w:val="none"/>
                    </w:rPr>
                  </w:pPr>
                  <w:r>
                    <w:rPr>
                      <w:rFonts w:ascii="Times New Roman" w:hAnsi="Times New Roman"/>
                      <w:highlight w:val="none"/>
                    </w:rPr>
                    <w:t xml:space="preserve">8</w:t>
                  </w:r>
                  <w:r/>
                </w:p>
              </w:tc>
              <w:tc>
                <w:tcPr>
                  <w:tcW w:w="962" w:type="dxa"/>
                  <w:vAlign w:val="center"/>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中性盐雾测试</w:t>
                  </w:r>
                  <w:r/>
                </w:p>
              </w:tc>
              <w:tc>
                <w:tcPr>
                  <w:tcW w:w="6103" w:type="dxa"/>
                  <w:vAlign w:val="center"/>
                  <w:textDirection w:val="lrTb"/>
                  <w:noWrap w:val="false"/>
                </w:tcPr>
                <w:p>
                  <w:pPr>
                    <w:pStyle w:val="1016"/>
                    <w:spacing w:line="440" w:lineRule="exact"/>
                    <w:rPr>
                      <w:rFonts w:ascii="Times New Roman" w:hAnsi="Times New Roman"/>
                      <w:i/>
                      <w:iCs/>
                      <w:highlight w:val="none"/>
                      <w:u w:val="single"/>
                    </w:rPr>
                  </w:pPr>
                  <w:r>
                    <w:rPr>
                      <w:rFonts w:ascii="Times New Roman" w:hAnsi="Times New Roman"/>
                      <w:i/>
                      <w:iCs/>
                      <w:spacing w:val="-2"/>
                      <w:highlight w:val="none"/>
                      <w:u w:val="single"/>
                    </w:rPr>
                    <w:t xml:space="preserve">监测装置在中性盐雾中放置24小</w:t>
                  </w:r>
                  <w:r>
                    <w:rPr>
                      <w:rFonts w:ascii="Times New Roman" w:hAnsi="Times New Roman"/>
                      <w:i/>
                      <w:iCs/>
                      <w:spacing w:val="-1"/>
                      <w:highlight w:val="none"/>
                      <w:u w:val="single"/>
                    </w:rPr>
                    <w:t xml:space="preserve">时后，装置表面要求没有明显腐蚀</w:t>
                  </w:r>
                  <w:r>
                    <w:rPr>
                      <w:rFonts w:ascii="Times New Roman" w:hAnsi="Times New Roman"/>
                      <w:i/>
                      <w:iCs/>
                      <w:spacing w:val="-3"/>
                      <w:highlight w:val="none"/>
                      <w:u w:val="single"/>
                    </w:rPr>
                    <w:t xml:space="preserve">现象。</w:t>
                  </w:r>
                  <w:r/>
                </w:p>
              </w:tc>
            </w:tr>
            <w:tr>
              <w:trPr>
                <w:jc w:val="center"/>
                <w:trHeight w:val="565"/>
              </w:trPr>
              <w:tc>
                <w:tcPr>
                  <w:tcW w:w="677" w:type="dxa"/>
                  <w:vAlign w:val="center"/>
                  <w:textDirection w:val="lrTb"/>
                  <w:noWrap w:val="false"/>
                </w:tcPr>
                <w:p>
                  <w:pPr>
                    <w:pStyle w:val="1016"/>
                    <w:jc w:val="center"/>
                    <w:spacing w:line="440" w:lineRule="exact"/>
                    <w:rPr>
                      <w:rFonts w:ascii="Times New Roman" w:hAnsi="Times New Roman"/>
                      <w:highlight w:val="none"/>
                    </w:rPr>
                  </w:pPr>
                  <w:r>
                    <w:rPr>
                      <w:rFonts w:ascii="Times New Roman" w:hAnsi="Times New Roman"/>
                      <w:highlight w:val="none"/>
                    </w:rPr>
                    <w:t xml:space="preserve">9</w:t>
                  </w:r>
                  <w:r/>
                </w:p>
              </w:tc>
              <w:tc>
                <w:tcPr>
                  <w:tcW w:w="962" w:type="dxa"/>
                  <w:vAlign w:val="center"/>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传输方式</w:t>
                  </w:r>
                  <w:r/>
                </w:p>
              </w:tc>
              <w:tc>
                <w:tcPr>
                  <w:tcW w:w="6103" w:type="dxa"/>
                  <w:vAlign w:val="center"/>
                  <w:textDirection w:val="lrTb"/>
                  <w:noWrap w:val="false"/>
                </w:tcPr>
                <w:p>
                  <w:pPr>
                    <w:pStyle w:val="1016"/>
                    <w:spacing w:line="440" w:lineRule="exact"/>
                    <w:rPr>
                      <w:rFonts w:ascii="Times New Roman" w:hAnsi="Times New Roman"/>
                      <w:highlight w:val="none"/>
                    </w:rPr>
                  </w:pPr>
                  <w:r>
                    <w:rPr>
                      <w:rStyle w:val="1022"/>
                      <w:rFonts w:ascii="Times New Roman" w:hAnsi="Times New Roman"/>
                      <w:highlight w:val="none"/>
                    </w:rPr>
                    <w:t xml:space="preserve">监测装置以无线的方式向蚁情采集器传输信息</w:t>
                  </w:r>
                  <w:r/>
                </w:p>
              </w:tc>
            </w:tr>
            <w:tr>
              <w:trPr>
                <w:jc w:val="center"/>
                <w:trHeight w:val="565"/>
              </w:trPr>
              <w:tc>
                <w:tcPr>
                  <w:tcW w:w="677" w:type="dxa"/>
                  <w:vAlign w:val="center"/>
                  <w:textDirection w:val="lrTb"/>
                  <w:noWrap w:val="false"/>
                </w:tcPr>
                <w:p>
                  <w:pPr>
                    <w:pStyle w:val="1016"/>
                    <w:jc w:val="center"/>
                    <w:spacing w:line="440" w:lineRule="exact"/>
                    <w:rPr>
                      <w:rFonts w:ascii="Times New Roman" w:hAnsi="Times New Roman"/>
                      <w:highlight w:val="none"/>
                    </w:rPr>
                  </w:pPr>
                  <w:r>
                    <w:rPr>
                      <w:rFonts w:ascii="Times New Roman" w:hAnsi="Times New Roman"/>
                      <w:spacing w:val="-6"/>
                      <w:highlight w:val="none"/>
                    </w:rPr>
                    <w:t xml:space="preserve">10</w:t>
                  </w:r>
                  <w:r/>
                </w:p>
              </w:tc>
              <w:tc>
                <w:tcPr>
                  <w:tcW w:w="962" w:type="dxa"/>
                  <w:vAlign w:val="center"/>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声光信息</w:t>
                  </w:r>
                  <w:r/>
                </w:p>
              </w:tc>
              <w:tc>
                <w:tcPr>
                  <w:tcW w:w="6103" w:type="dxa"/>
                  <w:vAlign w:val="center"/>
                  <w:textDirection w:val="lrTb"/>
                  <w:noWrap w:val="false"/>
                </w:tcPr>
                <w:p>
                  <w:pPr>
                    <w:pStyle w:val="1016"/>
                    <w:spacing w:line="440" w:lineRule="exact"/>
                    <w:rPr>
                      <w:rFonts w:ascii="Times New Roman" w:hAnsi="Times New Roman"/>
                      <w:highlight w:val="none"/>
                    </w:rPr>
                  </w:pPr>
                  <w:r>
                    <w:rPr>
                      <w:rFonts w:ascii="Times New Roman" w:hAnsi="Times New Roman"/>
                      <w:spacing w:val="-1"/>
                      <w:highlight w:val="none"/>
                    </w:rPr>
                    <w:t xml:space="preserve">蚁情采集器监测到蚁害时，有声光</w:t>
                  </w:r>
                  <w:r>
                    <w:rPr>
                      <w:rFonts w:ascii="Times New Roman" w:hAnsi="Times New Roman"/>
                      <w:spacing w:val="-2"/>
                      <w:highlight w:val="none"/>
                    </w:rPr>
                    <w:t xml:space="preserve">信息提示。</w:t>
                  </w:r>
                  <w:r/>
                </w:p>
              </w:tc>
            </w:tr>
            <w:tr>
              <w:trPr>
                <w:jc w:val="center"/>
                <w:trHeight w:val="565"/>
              </w:trPr>
              <w:tc>
                <w:tcPr>
                  <w:tcW w:w="677" w:type="dxa"/>
                  <w:vAlign w:val="center"/>
                  <w:textDirection w:val="lrTb"/>
                  <w:noWrap w:val="false"/>
                </w:tcPr>
                <w:p>
                  <w:pPr>
                    <w:pStyle w:val="1016"/>
                    <w:jc w:val="center"/>
                    <w:spacing w:line="440" w:lineRule="exact"/>
                    <w:rPr>
                      <w:rFonts w:ascii="Times New Roman" w:hAnsi="Times New Roman"/>
                      <w:highlight w:val="none"/>
                    </w:rPr>
                  </w:pPr>
                  <w:r>
                    <w:rPr>
                      <w:rFonts w:ascii="Times New Roman" w:hAnsi="Times New Roman"/>
                      <w:spacing w:val="-6"/>
                      <w:highlight w:val="none"/>
                    </w:rPr>
                    <w:t xml:space="preserve">11</w:t>
                  </w:r>
                  <w:r/>
                </w:p>
              </w:tc>
              <w:tc>
                <w:tcPr>
                  <w:tcW w:w="962" w:type="dxa"/>
                  <w:vAlign w:val="center"/>
                  <w:textDirection w:val="lrTb"/>
                  <w:noWrap w:val="false"/>
                </w:tcPr>
                <w:p>
                  <w:pPr>
                    <w:jc w:val="center"/>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连续工作时间</w:t>
                  </w:r>
                  <w:r/>
                </w:p>
              </w:tc>
              <w:tc>
                <w:tcPr>
                  <w:tcW w:w="6103" w:type="dxa"/>
                  <w:vAlign w:val="center"/>
                  <w:textDirection w:val="lrTb"/>
                  <w:noWrap w:val="false"/>
                </w:tcPr>
                <w:p>
                  <w:pPr>
                    <w:pStyle w:val="1016"/>
                    <w:spacing w:line="440" w:lineRule="exact"/>
                    <w:rPr>
                      <w:rFonts w:ascii="Times New Roman" w:hAnsi="Times New Roman"/>
                      <w:i/>
                      <w:iCs/>
                      <w:highlight w:val="none"/>
                      <w:u w:val="single"/>
                    </w:rPr>
                  </w:pPr>
                  <w:r>
                    <w:rPr>
                      <w:rFonts w:ascii="Times New Roman" w:hAnsi="Times New Roman"/>
                      <w:i/>
                      <w:iCs/>
                      <w:spacing w:val="-1"/>
                      <w:highlight w:val="none"/>
                      <w:u w:val="single"/>
                    </w:rPr>
                    <w:t xml:space="preserve">蚁情采集器连续工作时间应不低</w:t>
                  </w:r>
                  <w:r>
                    <w:rPr>
                      <w:rFonts w:ascii="Times New Roman" w:hAnsi="Times New Roman"/>
                      <w:i/>
                      <w:iCs/>
                      <w:spacing w:val="-6"/>
                      <w:highlight w:val="none"/>
                      <w:u w:val="single"/>
                    </w:rPr>
                    <w:t xml:space="preserve">于5h。</w:t>
                  </w:r>
                  <w:r/>
                </w:p>
              </w:tc>
            </w:tr>
          </w:tbl>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4.2 响应要求</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Style w:val="1022"/>
                <w:rFonts w:ascii="Times New Roman" w:hAnsi="Times New Roman"/>
                <w:i/>
                <w:iCs/>
                <w:color w:val="000000"/>
                <w:highlight w:val="none"/>
                <w:u w:val="single"/>
              </w:rPr>
              <w:t xml:space="preserve">合同周期内中标人应提供24小时服务热线，在信息化智能预警监测装置系统报警后，要在24小时内到达报警点，对监测装置内引诱的白蚁进行投放药物灭治处理；监测系统出现故障问题，中标人要在24小时内安排技术人员到达现场进行维护解决，当场解决不了的技术故障要在12小时内给予解决。</w:t>
            </w:r>
            <w:r/>
          </w:p>
        </w:tc>
      </w:tr>
      <w:tr>
        <w:trPr/>
        <w:tc>
          <w:tcPr>
            <w:tcMar>
              <w:left w:w="108" w:type="dxa"/>
              <w:top w:w="100" w:type="dxa"/>
              <w:right w:w="108" w:type="dxa"/>
              <w:bottom w:w="100" w:type="dxa"/>
            </w:tcMar>
            <w:tcW w:w="812" w:type="dxa"/>
            <w:vAlign w:val="center"/>
            <w:textDirection w:val="lrTb"/>
            <w:noWrap w:val="false"/>
          </w:tcPr>
          <w:p>
            <w:pPr>
              <w:pStyle w:val="1015"/>
              <w:jc w:val="center"/>
              <w:spacing w:line="440" w:lineRule="exact"/>
              <w:rPr>
                <w:rFonts w:eastAsia="宋体"/>
                <w:highlight w:val="none"/>
              </w:rPr>
            </w:pPr>
            <w:r>
              <w:rPr>
                <w:rFonts w:hint="eastAsia" w:eastAsia="宋体"/>
                <w:highlight w:val="none"/>
              </w:rPr>
              <w:t xml:space="preserve">5</w:t>
            </w:r>
            <w:r/>
          </w:p>
        </w:tc>
        <w:tc>
          <w:tcPr>
            <w:tcMar>
              <w:left w:w="108" w:type="dxa"/>
              <w:top w:w="100" w:type="dxa"/>
              <w:right w:w="108" w:type="dxa"/>
              <w:bottom w:w="100" w:type="dxa"/>
            </w:tcMar>
            <w:tcW w:w="766" w:type="dxa"/>
            <w:vAlign w:val="center"/>
            <w:textDirection w:val="lrTb"/>
            <w:noWrap w:val="false"/>
          </w:tcPr>
          <w:p>
            <w:pPr>
              <w:pStyle w:val="1015"/>
              <w:spacing w:line="440" w:lineRule="exact"/>
              <w:rPr>
                <w:rFonts w:eastAsia="宋体"/>
                <w:highlight w:val="none"/>
              </w:rPr>
            </w:pPr>
            <w:r>
              <w:rPr>
                <w:rFonts w:eastAsia="宋体"/>
                <w:highlight w:val="none"/>
              </w:rPr>
              <w:t xml:space="preserve">车辆、工具配置</w:t>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Style w:val="1022"/>
                <w:rFonts w:hint="eastAsia"/>
                <w:highlight w:val="none"/>
              </w:rPr>
            </w:pPr>
            <w:r>
              <w:rPr>
                <w:rStyle w:val="1022"/>
                <w:rFonts w:ascii="Times New Roman" w:hAnsi="Times New Roman"/>
                <w:color w:val="000000"/>
                <w:highlight w:val="none"/>
              </w:rPr>
              <w:t xml:space="preserve">1、为满足本项目基本工作需求，投标人应投入白蚁防治专用工具、钻孔机、车载喷药车等基本仪器设备。</w:t>
            </w:r>
            <w:r/>
          </w:p>
          <w:p>
            <w:pPr>
              <w:pStyle w:val="777"/>
              <w:spacing w:beforeAutospacing="0" w:afterAutospacing="0" w:line="440" w:lineRule="exact"/>
              <w:rPr>
                <w:rFonts w:ascii="Times New Roman" w:hAnsi="Times New Roman"/>
                <w:color w:val="000000"/>
                <w:highlight w:val="none"/>
              </w:rPr>
            </w:pPr>
            <w:r>
              <w:rPr>
                <w:rStyle w:val="1022"/>
                <w:rFonts w:ascii="Times New Roman" w:hAnsi="Times New Roman"/>
                <w:color w:val="000000"/>
                <w:highlight w:val="none"/>
              </w:rPr>
              <w:t xml:space="preserve">2、应投入不少于2辆施工作业车辆。</w:t>
            </w:r>
            <w:r/>
          </w:p>
        </w:tc>
      </w:tr>
      <w:tr>
        <w:trPr>
          <w:trHeight w:val="20"/>
        </w:trPr>
        <w:tc>
          <w:tcPr>
            <w:tcMar>
              <w:left w:w="108" w:type="dxa"/>
              <w:top w:w="100" w:type="dxa"/>
              <w:right w:w="108" w:type="dxa"/>
              <w:bottom w:w="100" w:type="dxa"/>
            </w:tcMar>
            <w:tcW w:w="812" w:type="dxa"/>
            <w:vAlign w:val="center"/>
            <w:vMerge w:val="restart"/>
            <w:textDirection w:val="lrTb"/>
            <w:noWrap w:val="false"/>
          </w:tcPr>
          <w:p>
            <w:pPr>
              <w:pStyle w:val="1015"/>
              <w:jc w:val="center"/>
              <w:spacing w:line="440" w:lineRule="exact"/>
              <w:rPr>
                <w:rFonts w:eastAsia="宋体"/>
                <w:highlight w:val="none"/>
              </w:rPr>
            </w:pPr>
            <w:r/>
            <w:bookmarkStart w:id="170" w:name="_Hlk215137589"/>
            <w:r>
              <w:rPr>
                <w:rFonts w:hint="eastAsia" w:eastAsia="宋体"/>
                <w:highlight w:val="none"/>
              </w:rPr>
              <w:t xml:space="preserve">6</w:t>
            </w:r>
            <w:r/>
          </w:p>
        </w:tc>
        <w:tc>
          <w:tcPr>
            <w:tcMar>
              <w:left w:w="108" w:type="dxa"/>
              <w:top w:w="100" w:type="dxa"/>
              <w:right w:w="108" w:type="dxa"/>
              <w:bottom w:w="100" w:type="dxa"/>
            </w:tcMar>
            <w:tcW w:w="766" w:type="dxa"/>
            <w:vAlign w:val="center"/>
            <w:vMerge w:val="restart"/>
            <w:textDirection w:val="lrTb"/>
            <w:noWrap w:val="false"/>
          </w:tcPr>
          <w:p>
            <w:pPr>
              <w:pStyle w:val="1015"/>
              <w:spacing w:line="440" w:lineRule="exact"/>
              <w:rPr>
                <w:rFonts w:eastAsia="宋体"/>
                <w:highlight w:val="none"/>
              </w:rPr>
            </w:pPr>
            <w:r>
              <w:rPr>
                <w:rFonts w:hint="eastAsia" w:eastAsia="宋体"/>
                <w:highlight w:val="none"/>
              </w:rPr>
              <w:t xml:space="preserve">企业内部管理</w:t>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6.1 管理制度</w:t>
            </w:r>
            <w:r/>
          </w:p>
        </w:tc>
      </w:tr>
      <w:tr>
        <w:trPr>
          <w:trHeight w:val="219"/>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6.1.1 安全生产管理制度</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1、</w:t>
            </w:r>
            <w:r>
              <w:rPr>
                <w:rFonts w:ascii="Times New Roman" w:hAnsi="Times New Roman"/>
                <w:color w:val="000000"/>
                <w:highlight w:val="none"/>
              </w:rPr>
              <w:t xml:space="preserve">所有人员必须穿戴救生衣、安全帽、防滑鞋。在临水、陡坡等危险区域作业时，必须设置安全警示标志，并确保至少两人同行。</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2、</w:t>
            </w:r>
            <w:r>
              <w:rPr>
                <w:rFonts w:ascii="Times New Roman" w:hAnsi="Times New Roman"/>
                <w:color w:val="000000"/>
                <w:highlight w:val="none"/>
              </w:rPr>
              <w:t xml:space="preserve">项目车辆定期保养，驾驶员遵守交通规则，严禁疲劳驾驶。</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3、</w:t>
            </w:r>
            <w:r>
              <w:rPr>
                <w:rFonts w:ascii="Times New Roman" w:hAnsi="Times New Roman"/>
                <w:color w:val="000000"/>
                <w:highlight w:val="none"/>
              </w:rPr>
              <w:t xml:space="preserve">白蚁防治药剂必须专库储存、专人管理、领用登记。使用时必须佩戴防护手套、口罩，并严格按说明书浓度配比，防止环境污染和人畜中毒。</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4、</w:t>
            </w:r>
            <w:r>
              <w:rPr>
                <w:rFonts w:ascii="Times New Roman" w:hAnsi="Times New Roman"/>
                <w:color w:val="000000"/>
                <w:highlight w:val="none"/>
              </w:rPr>
              <w:t xml:space="preserve">压力灌浆机、探测仪等设备操作人员必须经过专门培训，持证上岗。</w:t>
            </w:r>
            <w:r/>
          </w:p>
        </w:tc>
      </w:tr>
      <w:tr>
        <w:trPr>
          <w:trHeight w:val="219"/>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6.1.2 </w:t>
            </w:r>
            <w:r>
              <w:rPr>
                <w:rFonts w:ascii="Times New Roman" w:hAnsi="Times New Roman"/>
                <w:color w:val="000000"/>
                <w:highlight w:val="none"/>
              </w:rPr>
              <w:t xml:space="preserve">质量管理制度</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1、</w:t>
            </w:r>
            <w:r>
              <w:rPr>
                <w:rFonts w:ascii="Times New Roman" w:hAnsi="Times New Roman"/>
                <w:color w:val="000000"/>
                <w:highlight w:val="none"/>
              </w:rPr>
              <w:t xml:space="preserve">实行班组自检、组内互检、技术质量组专检的质量检查制度。每一道工序合格后，方可进入下一道工序。</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2、</w:t>
            </w:r>
            <w:r>
              <w:rPr>
                <w:rFonts w:ascii="Times New Roman" w:hAnsi="Times New Roman"/>
                <w:color w:val="000000"/>
                <w:highlight w:val="none"/>
              </w:rPr>
              <w:t xml:space="preserve">将普查、引诱桩设置、灌浆等关键工序制作成标准化作业卡，发放至每个小组，确保操作统一、规范。</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3、</w:t>
            </w:r>
            <w:r>
              <w:rPr>
                <w:rFonts w:ascii="Times New Roman" w:hAnsi="Times New Roman"/>
                <w:color w:val="000000"/>
                <w:highlight w:val="none"/>
              </w:rPr>
              <w:t xml:space="preserve">对每个普查点位、治理点位进行唯一编号，记录负责人，实现全过程质量可追溯。</w:t>
            </w:r>
            <w:r/>
          </w:p>
        </w:tc>
      </w:tr>
      <w:tr>
        <w:trPr>
          <w:trHeight w:val="549"/>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6.1.3 档案信息管理制度</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1、</w:t>
            </w:r>
            <w:r>
              <w:rPr>
                <w:rFonts w:ascii="Times New Roman" w:hAnsi="Times New Roman"/>
                <w:color w:val="000000"/>
                <w:highlight w:val="none"/>
              </w:rPr>
              <w:t xml:space="preserve">对每个发现的危害点，从发现、记录、治理到复查，建立独立的电子和纸质档案。</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2、</w:t>
            </w:r>
            <w:r>
              <w:rPr>
                <w:rFonts w:ascii="Times New Roman" w:hAnsi="Times New Roman"/>
                <w:color w:val="000000"/>
                <w:highlight w:val="none"/>
              </w:rPr>
              <w:t xml:space="preserve">所有电子数据（GPS点位、水印照片、监测数据）每日备份，以防丢失。</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3、</w:t>
            </w:r>
            <w:r>
              <w:rPr>
                <w:rFonts w:ascii="Times New Roman" w:hAnsi="Times New Roman"/>
                <w:color w:val="000000"/>
                <w:highlight w:val="none"/>
              </w:rPr>
              <w:t xml:space="preserve">项目涉及的技术资料、数据未经项目经理批准，不得对外泄露。</w:t>
            </w:r>
            <w:r/>
          </w:p>
        </w:tc>
      </w:tr>
      <w:tr>
        <w:trPr>
          <w:trHeight w:val="20"/>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6.2 培训要求</w:t>
            </w:r>
            <w:r/>
          </w:p>
        </w:tc>
      </w:tr>
      <w:tr>
        <w:trPr>
          <w:trHeight w:val="549"/>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1、</w:t>
            </w:r>
            <w:r>
              <w:rPr>
                <w:rFonts w:ascii="Times New Roman" w:hAnsi="Times New Roman"/>
                <w:color w:val="000000"/>
                <w:highlight w:val="none"/>
              </w:rPr>
              <w:t xml:space="preserve">使所有项目人员熟悉技术规范、掌握操作技能、树立安全与环保意识。</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2、</w:t>
            </w:r>
            <w:r>
              <w:rPr>
                <w:rFonts w:ascii="Times New Roman" w:hAnsi="Times New Roman"/>
                <w:color w:val="000000"/>
                <w:highlight w:val="none"/>
              </w:rPr>
              <w:t xml:space="preserve">白蚁迹象识别、引诱桩布设、GPS使用、水印相机拍摄、灌浆设备操作演练。</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3、</w:t>
            </w:r>
            <w:r>
              <w:rPr>
                <w:rFonts w:ascii="Times New Roman" w:hAnsi="Times New Roman"/>
                <w:color w:val="000000"/>
                <w:highlight w:val="none"/>
              </w:rPr>
              <w:t xml:space="preserve">针对前期工作中出现的问题进行案例分析和技术复盘。学习新的技术标准或优秀经验</w:t>
            </w:r>
            <w:r>
              <w:rPr>
                <w:rFonts w:hint="eastAsia" w:ascii="Times New Roman" w:hAnsi="Times New Roman"/>
                <w:color w:val="000000"/>
                <w:highlight w:val="none"/>
              </w:rPr>
              <w:t xml:space="preserve">。</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4、</w:t>
            </w:r>
            <w:r>
              <w:rPr>
                <w:rFonts w:ascii="Times New Roman" w:hAnsi="Times New Roman"/>
                <w:color w:val="000000"/>
                <w:highlight w:val="none"/>
              </w:rPr>
              <w:t xml:space="preserve">针对探地雷达操作、压力灌浆技术等专项技能进行深化培训。</w:t>
            </w:r>
            <w:r/>
          </w:p>
        </w:tc>
      </w:tr>
      <w:tr>
        <w:trPr>
          <w:trHeight w:val="276"/>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6.3 人员管理</w:t>
            </w:r>
            <w:r/>
          </w:p>
        </w:tc>
      </w:tr>
      <w:tr>
        <w:trPr>
          <w:trHeight w:val="276"/>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1、</w:t>
            </w:r>
            <w:r>
              <w:rPr>
                <w:rFonts w:ascii="Times New Roman" w:hAnsi="Times New Roman"/>
                <w:color w:val="000000"/>
                <w:highlight w:val="none"/>
              </w:rPr>
              <w:t xml:space="preserve">采用打卡与水印相机定点打卡相结合的方式，确保人员在岗。</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2、</w:t>
            </w:r>
            <w:r>
              <w:rPr>
                <w:rFonts w:ascii="Times New Roman" w:hAnsi="Times New Roman"/>
                <w:color w:val="000000"/>
                <w:highlight w:val="none"/>
              </w:rPr>
              <w:t xml:space="preserve">绩效考核与工作质量（如普查准确率、治理成功率）、工作效率、安全记录、团队协作挂钩，实行奖优罚劣。</w:t>
            </w:r>
            <w:r/>
          </w:p>
        </w:tc>
      </w:tr>
      <w:tr>
        <w:trPr>
          <w:trHeight w:val="276"/>
        </w:trPr>
        <w:tc>
          <w:tcPr>
            <w:tcMar>
              <w:left w:w="108" w:type="dxa"/>
              <w:top w:w="100" w:type="dxa"/>
              <w:right w:w="108" w:type="dxa"/>
              <w:bottom w:w="100" w:type="dxa"/>
            </w:tcMar>
            <w:tcW w:w="812" w:type="dxa"/>
            <w:vAlign w:val="center"/>
            <w:textDirection w:val="lrTb"/>
            <w:noWrap w:val="false"/>
          </w:tcPr>
          <w:p>
            <w:pPr>
              <w:pStyle w:val="1015"/>
              <w:jc w:val="center"/>
              <w:spacing w:line="440" w:lineRule="exact"/>
              <w:rPr>
                <w:rFonts w:eastAsia="宋体"/>
                <w:highlight w:val="none"/>
              </w:rPr>
            </w:pPr>
            <w:r>
              <w:rPr>
                <w:rFonts w:hint="eastAsia" w:eastAsia="宋体"/>
                <w:highlight w:val="none"/>
              </w:rPr>
              <w:t xml:space="preserve">7</w:t>
            </w:r>
            <w:r/>
          </w:p>
        </w:tc>
        <w:tc>
          <w:tcPr>
            <w:tcMar>
              <w:left w:w="108" w:type="dxa"/>
              <w:top w:w="100" w:type="dxa"/>
              <w:right w:w="108" w:type="dxa"/>
              <w:bottom w:w="100" w:type="dxa"/>
            </w:tcMar>
            <w:tcW w:w="766" w:type="dxa"/>
            <w:vAlign w:val="center"/>
            <w:textDirection w:val="lrTb"/>
            <w:noWrap w:val="false"/>
          </w:tcPr>
          <w:p>
            <w:pPr>
              <w:pStyle w:val="1015"/>
              <w:spacing w:line="440" w:lineRule="exact"/>
              <w:rPr>
                <w:rFonts w:eastAsia="宋体"/>
                <w:highlight w:val="none"/>
              </w:rPr>
            </w:pPr>
            <w:r>
              <w:rPr>
                <w:rFonts w:hint="eastAsia" w:eastAsia="宋体"/>
                <w:highlight w:val="none"/>
              </w:rPr>
              <w:t xml:space="preserve">安全文明施工</w:t>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1、</w:t>
            </w:r>
            <w:r>
              <w:rPr>
                <w:rFonts w:ascii="Times New Roman" w:hAnsi="Times New Roman"/>
                <w:color w:val="000000"/>
                <w:highlight w:val="none"/>
              </w:rPr>
              <w:t xml:space="preserve">坚持“安全第一、预防为主、综合治理”的方针，贯彻“以人为本、绿色施工”的理念，实现项目全过程的安全、文明、环保管理。</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2、</w:t>
            </w:r>
            <w:r>
              <w:rPr>
                <w:rFonts w:ascii="Times New Roman" w:hAnsi="Times New Roman"/>
                <w:color w:val="000000"/>
                <w:highlight w:val="none"/>
              </w:rPr>
              <w:t xml:space="preserve">杜绝重伤及以上安全事故，轻伤事故率控制在最低水平。</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3、</w:t>
            </w:r>
            <w:r>
              <w:rPr>
                <w:rFonts w:ascii="Times New Roman" w:hAnsi="Times New Roman"/>
                <w:color w:val="000000"/>
                <w:highlight w:val="none"/>
              </w:rPr>
              <w:t xml:space="preserve">确保堤防工程结构及附属设施在施工期间不受损坏。</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4、</w:t>
            </w:r>
            <w:r>
              <w:rPr>
                <w:rFonts w:ascii="Times New Roman" w:hAnsi="Times New Roman"/>
                <w:color w:val="000000"/>
                <w:highlight w:val="none"/>
              </w:rPr>
              <w:t xml:space="preserve">控制施工扬尘、噪音、水体和土壤污染，保护堤防沿线生态环境。</w:t>
            </w:r>
            <w:r/>
          </w:p>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5、</w:t>
            </w:r>
            <w:r>
              <w:rPr>
                <w:rFonts w:ascii="Times New Roman" w:hAnsi="Times New Roman"/>
                <w:color w:val="000000"/>
                <w:highlight w:val="none"/>
              </w:rPr>
              <w:t xml:space="preserve">施工现场规范有序，与周边环境和谐共处，树立良好形象。</w:t>
            </w:r>
            <w:bookmarkEnd w:id="170"/>
            <w:r/>
            <w:r/>
          </w:p>
        </w:tc>
      </w:tr>
      <w:tr>
        <w:trPr/>
        <w:tc>
          <w:tcPr>
            <w:tcMar>
              <w:left w:w="108" w:type="dxa"/>
              <w:top w:w="100" w:type="dxa"/>
              <w:right w:w="108" w:type="dxa"/>
              <w:bottom w:w="100" w:type="dxa"/>
            </w:tcMar>
            <w:tcW w:w="812" w:type="dxa"/>
            <w:vAlign w:val="center"/>
            <w:vMerge w:val="restart"/>
            <w:textDirection w:val="lrTb"/>
            <w:noWrap w:val="false"/>
          </w:tcPr>
          <w:p>
            <w:pPr>
              <w:pStyle w:val="1015"/>
              <w:jc w:val="center"/>
              <w:spacing w:line="440" w:lineRule="exact"/>
              <w:rPr>
                <w:rFonts w:eastAsia="宋体"/>
                <w:highlight w:val="none"/>
              </w:rPr>
            </w:pPr>
            <w:r>
              <w:rPr>
                <w:rFonts w:hint="eastAsia" w:eastAsia="宋体"/>
                <w:highlight w:val="none"/>
              </w:rPr>
              <w:t xml:space="preserve">8</w:t>
            </w:r>
            <w:r/>
          </w:p>
        </w:tc>
        <w:tc>
          <w:tcPr>
            <w:tcMar>
              <w:left w:w="108" w:type="dxa"/>
              <w:top w:w="100" w:type="dxa"/>
              <w:right w:w="108" w:type="dxa"/>
              <w:bottom w:w="100" w:type="dxa"/>
            </w:tcMar>
            <w:tcW w:w="766" w:type="dxa"/>
            <w:vAlign w:val="center"/>
            <w:vMerge w:val="restart"/>
            <w:textDirection w:val="lrTb"/>
            <w:noWrap w:val="false"/>
          </w:tcPr>
          <w:p>
            <w:pPr>
              <w:pStyle w:val="1015"/>
              <w:spacing w:line="440" w:lineRule="exact"/>
              <w:rPr>
                <w:rFonts w:eastAsia="宋体"/>
                <w:highlight w:val="none"/>
              </w:rPr>
            </w:pPr>
            <w:r>
              <w:rPr>
                <w:rFonts w:eastAsia="宋体"/>
                <w:highlight w:val="none"/>
              </w:rPr>
              <w:t xml:space="preserve">验收要求</w:t>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8</w:t>
            </w:r>
            <w:r>
              <w:rPr>
                <w:rFonts w:ascii="Times New Roman" w:hAnsi="Times New Roman"/>
                <w:color w:val="000000"/>
                <w:highlight w:val="none"/>
              </w:rPr>
              <w:t xml:space="preserve">.1 验收依据</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1、本项目采购合同及附件。</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2、经</w:t>
            </w:r>
            <w:r>
              <w:rPr>
                <w:rFonts w:hint="eastAsia" w:ascii="Times New Roman" w:hAnsi="Times New Roman"/>
                <w:color w:val="000000"/>
                <w:highlight w:val="none"/>
              </w:rPr>
              <w:t xml:space="preserve">招标人</w:t>
            </w:r>
            <w:r>
              <w:rPr>
                <w:rFonts w:ascii="Times New Roman" w:hAnsi="Times New Roman"/>
                <w:color w:val="000000"/>
                <w:highlight w:val="none"/>
              </w:rPr>
              <w:t xml:space="preserve">审核同意的项目实施方案。</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3、《堤防工程养护修理规程》（SL/T 722）、</w:t>
            </w:r>
            <w:r>
              <w:rPr>
                <w:rFonts w:hint="eastAsia" w:cs="仿宋"/>
                <w:szCs w:val="21"/>
                <w:highlight w:val="none"/>
              </w:rPr>
              <w:t xml:space="preserve">《水利工程白蚁防治技术规程（SL/T 836-2024）》</w:t>
            </w:r>
            <w:r>
              <w:rPr>
                <w:rFonts w:ascii="Times New Roman" w:hAnsi="Times New Roman"/>
                <w:color w:val="000000"/>
                <w:highlight w:val="none"/>
              </w:rPr>
              <w:t xml:space="preserve">等相关国家、行业技术标准与规范。</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4、国家及地方关于政府采购项目验收的相关管理规定。</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8</w:t>
            </w:r>
            <w:r>
              <w:rPr>
                <w:rFonts w:ascii="Times New Roman" w:hAnsi="Times New Roman"/>
                <w:color w:val="000000"/>
                <w:highlight w:val="none"/>
              </w:rPr>
              <w:t xml:space="preserve">.2 验收组织</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1、验收主体：由</w:t>
            </w:r>
            <w:r>
              <w:rPr>
                <w:rFonts w:hint="eastAsia" w:ascii="Times New Roman" w:hAnsi="Times New Roman"/>
                <w:color w:val="000000"/>
                <w:highlight w:val="none"/>
              </w:rPr>
              <w:t xml:space="preserve">招标人</w:t>
            </w:r>
            <w:r>
              <w:rPr>
                <w:rFonts w:ascii="Times New Roman" w:hAnsi="Times New Roman"/>
                <w:color w:val="000000"/>
                <w:highlight w:val="none"/>
              </w:rPr>
              <w:t xml:space="preserve">负责组织成立项目验收小组。</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2、验收小组构成：验收小组由</w:t>
            </w:r>
            <w:r>
              <w:rPr>
                <w:rFonts w:hint="eastAsia" w:ascii="Times New Roman" w:hAnsi="Times New Roman"/>
                <w:color w:val="000000"/>
                <w:highlight w:val="none"/>
              </w:rPr>
              <w:t xml:space="preserve">招标人</w:t>
            </w:r>
            <w:r>
              <w:rPr>
                <w:rFonts w:ascii="Times New Roman" w:hAnsi="Times New Roman"/>
                <w:color w:val="000000"/>
                <w:highlight w:val="none"/>
              </w:rPr>
              <w:t xml:space="preserve">组成。</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3、供应商职责：中标人应全程配合验收工作，提供必要的人员、设备和资料支持。</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8</w:t>
            </w:r>
            <w:r>
              <w:rPr>
                <w:rFonts w:ascii="Times New Roman" w:hAnsi="Times New Roman"/>
                <w:color w:val="000000"/>
                <w:highlight w:val="none"/>
              </w:rPr>
              <w:t xml:space="preserve">.3 验收标准</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1、项目完成情况核查：</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（2）确认两轮普查、治理工作已全部按合同要求完成。</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（3）确认5公里长江重点堤段安全健康评估工作及报告已按要求完成并通过评审。</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（3）确认所有合同约定的设备、装置已安装并投入使用。</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2、最终成果交付物审核：</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（1）审核以下报告的真实性、完整性和科学性：</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1）《第一轮白蚁等害堤动物普查与治理工作报告》</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2）《第二轮白蚁等害堤动物普查工作报告》</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3）《长江重点堤段安全健康评估报告》</w:t>
            </w:r>
            <w:r/>
          </w:p>
          <w:p>
            <w:pPr>
              <w:pStyle w:val="777"/>
              <w:spacing w:beforeAutospacing="0" w:afterAutospacing="0" w:line="440" w:lineRule="exact"/>
              <w:rPr>
                <w:rFonts w:ascii="Times New Roman" w:hAnsi="Times New Roman"/>
                <w:color w:val="000000"/>
                <w:highlight w:val="none"/>
              </w:rPr>
            </w:pPr>
            <w:r>
              <w:rPr>
                <w:rFonts w:ascii="Times New Roman" w:hAnsi="Times New Roman"/>
                <w:color w:val="000000"/>
                <w:highlight w:val="none"/>
              </w:rPr>
              <w:t xml:space="preserve">（2）审核全套电子档案数据库，包括所有普查数据、治理记录、监测数据、影像资料等，要求数据格式统一、便于查询与管理。</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pStyle w:val="777"/>
              <w:spacing w:beforeAutospacing="0" w:afterAutospacing="0" w:line="440" w:lineRule="exact"/>
              <w:rPr>
                <w:rFonts w:ascii="Times New Roman" w:hAnsi="Times New Roman"/>
                <w:color w:val="000000"/>
                <w:highlight w:val="none"/>
              </w:rPr>
            </w:pPr>
            <w:r>
              <w:rPr>
                <w:rFonts w:hint="eastAsia" w:ascii="Times New Roman" w:hAnsi="Times New Roman"/>
                <w:color w:val="000000"/>
                <w:highlight w:val="none"/>
              </w:rPr>
              <w:t xml:space="preserve">8</w:t>
            </w:r>
            <w:r>
              <w:rPr>
                <w:rFonts w:ascii="Times New Roman" w:hAnsi="Times New Roman"/>
                <w:color w:val="000000"/>
                <w:highlight w:val="none"/>
              </w:rPr>
              <w:t xml:space="preserve">.4 验收程序</w:t>
            </w:r>
            <w:r/>
          </w:p>
        </w:tc>
      </w:tr>
      <w:tr>
        <w:trPr/>
        <w:tc>
          <w:tcPr>
            <w:tcMar>
              <w:left w:w="108" w:type="dxa"/>
              <w:top w:w="100" w:type="dxa"/>
              <w:right w:w="108" w:type="dxa"/>
              <w:bottom w:w="100" w:type="dxa"/>
            </w:tcMar>
            <w:tcW w:w="812" w:type="dxa"/>
            <w:vAlign w:val="center"/>
            <w:vMerge w:val="continue"/>
            <w:textDirection w:val="lrTb"/>
            <w:noWrap w:val="false"/>
          </w:tcPr>
          <w:p>
            <w:pPr>
              <w:pStyle w:val="1015"/>
              <w:jc w:val="center"/>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66" w:type="dxa"/>
            <w:vAlign w:val="center"/>
            <w:vMerge w:val="continue"/>
            <w:textDirection w:val="lrTb"/>
            <w:noWrap w:val="false"/>
          </w:tcPr>
          <w:p>
            <w:pPr>
              <w:pStyle w:val="1015"/>
              <w:spacing w:line="440" w:lineRule="exact"/>
              <w:rPr>
                <w:rFonts w:eastAsia="宋体"/>
                <w:highlight w:val="none"/>
              </w:rPr>
            </w:pPr>
            <w:r>
              <w:rPr>
                <w:rFonts w:eastAsia="宋体"/>
                <w:highlight w:val="none"/>
              </w:rPr>
            </w:r>
            <w:r/>
          </w:p>
        </w:tc>
        <w:tc>
          <w:tcPr>
            <w:tcMar>
              <w:left w:w="108" w:type="dxa"/>
              <w:top w:w="100" w:type="dxa"/>
              <w:right w:w="108" w:type="dxa"/>
              <w:bottom w:w="100" w:type="dxa"/>
            </w:tcMar>
            <w:tcW w:w="7993" w:type="dxa"/>
            <w:vAlign w:val="center"/>
            <w:textDirection w:val="lrTb"/>
            <w:noWrap w:val="false"/>
          </w:tcPr>
          <w:p>
            <w:pPr>
              <w:jc w:val="left"/>
              <w:spacing w:line="440" w:lineRule="exact"/>
              <w:widowControl/>
              <w:rPr>
                <w:rFonts w:ascii="Times New Roman" w:hAnsi="Times New Roman"/>
                <w:sz w:val="24"/>
                <w:szCs w:val="24"/>
                <w:highlight w:val="none"/>
              </w:rPr>
            </w:pPr>
            <w:r>
              <w:rPr>
                <w:rFonts w:ascii="Times New Roman" w:hAnsi="Times New Roman"/>
                <w:sz w:val="24"/>
                <w:szCs w:val="24"/>
                <w:highlight w:val="none"/>
              </w:rPr>
              <w:t xml:space="preserve">1、本项目采用</w:t>
            </w:r>
            <w:r>
              <w:rPr>
                <w:rFonts w:hint="eastAsia" w:ascii="Times New Roman" w:hAnsi="Times New Roman"/>
                <w:sz w:val="24"/>
                <w:szCs w:val="24"/>
                <w:highlight w:val="none"/>
              </w:rPr>
              <w:t xml:space="preserve">分期</w:t>
            </w:r>
            <w:r>
              <w:rPr>
                <w:rFonts w:ascii="Times New Roman" w:hAnsi="Times New Roman"/>
                <w:sz w:val="24"/>
                <w:szCs w:val="24"/>
                <w:highlight w:val="none"/>
              </w:rPr>
              <w:t xml:space="preserve">验收，根据实际情况成立验收小组，验收小组制定方案，对照</w:t>
            </w:r>
            <w:r>
              <w:rPr>
                <w:rFonts w:hint="eastAsia" w:ascii="Times New Roman" w:hAnsi="Times New Roman"/>
                <w:sz w:val="24"/>
                <w:szCs w:val="24"/>
                <w:highlight w:val="none"/>
              </w:rPr>
              <w:t xml:space="preserve">招标</w:t>
            </w:r>
            <w:r>
              <w:rPr>
                <w:rFonts w:ascii="Times New Roman" w:hAnsi="Times New Roman"/>
                <w:sz w:val="24"/>
                <w:szCs w:val="24"/>
                <w:highlight w:val="none"/>
              </w:rPr>
              <w:t xml:space="preserve">文件、合同、考核细则、乙方提供的服务资料、考核结果进行验收。</w:t>
            </w:r>
            <w:r/>
          </w:p>
          <w:p>
            <w:pPr>
              <w:jc w:val="left"/>
              <w:spacing w:line="440" w:lineRule="exact"/>
              <w:widowControl/>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招标人</w:t>
            </w:r>
            <w:r>
              <w:rPr>
                <w:rFonts w:ascii="Times New Roman" w:hAnsi="Times New Roman"/>
                <w:sz w:val="24"/>
                <w:szCs w:val="24"/>
                <w:highlight w:val="none"/>
              </w:rPr>
              <w:t xml:space="preserve">将依据《关于印发&lt;江苏省政府采购履约验收管理办法&gt;的通知》苏财规【2024】7号文件的相关要求组织验收。</w:t>
            </w:r>
            <w:r/>
          </w:p>
        </w:tc>
      </w:tr>
      <w:tr>
        <w:trPr/>
        <w:tc>
          <w:tcPr>
            <w:tcMar>
              <w:left w:w="108" w:type="dxa"/>
              <w:top w:w="100" w:type="dxa"/>
              <w:right w:w="108" w:type="dxa"/>
              <w:bottom w:w="100" w:type="dxa"/>
            </w:tcMar>
            <w:tcW w:w="812" w:type="dxa"/>
            <w:vAlign w:val="center"/>
            <w:textDirection w:val="lrTb"/>
            <w:noWrap w:val="false"/>
          </w:tcPr>
          <w:p>
            <w:pPr>
              <w:pStyle w:val="1015"/>
              <w:jc w:val="center"/>
              <w:spacing w:line="440" w:lineRule="exact"/>
              <w:rPr>
                <w:rFonts w:eastAsia="宋体"/>
                <w:highlight w:val="none"/>
              </w:rPr>
            </w:pPr>
            <w:r>
              <w:rPr>
                <w:rFonts w:hint="eastAsia" w:eastAsia="宋体"/>
                <w:highlight w:val="none"/>
              </w:rPr>
              <w:t xml:space="preserve">9</w:t>
            </w:r>
            <w:r/>
          </w:p>
        </w:tc>
        <w:tc>
          <w:tcPr>
            <w:tcMar>
              <w:left w:w="108" w:type="dxa"/>
              <w:top w:w="100" w:type="dxa"/>
              <w:right w:w="108" w:type="dxa"/>
              <w:bottom w:w="100" w:type="dxa"/>
            </w:tcMar>
            <w:tcW w:w="766" w:type="dxa"/>
            <w:vAlign w:val="center"/>
            <w:textDirection w:val="lrTb"/>
            <w:noWrap w:val="false"/>
          </w:tcPr>
          <w:p>
            <w:pPr>
              <w:pStyle w:val="1015"/>
              <w:spacing w:line="440" w:lineRule="exact"/>
              <w:rPr>
                <w:rFonts w:eastAsia="宋体"/>
                <w:highlight w:val="none"/>
              </w:rPr>
            </w:pPr>
            <w:r>
              <w:rPr>
                <w:rFonts w:eastAsia="宋体"/>
                <w:highlight w:val="none"/>
              </w:rPr>
              <w:t xml:space="preserve">其他要求</w:t>
            </w:r>
            <w:r/>
          </w:p>
        </w:tc>
        <w:tc>
          <w:tcPr>
            <w:tcMar>
              <w:left w:w="108" w:type="dxa"/>
              <w:top w:w="100" w:type="dxa"/>
              <w:right w:w="108" w:type="dxa"/>
              <w:bottom w:w="100" w:type="dxa"/>
            </w:tcMar>
            <w:tcW w:w="7993" w:type="dxa"/>
            <w:vAlign w:val="center"/>
            <w:textDirection w:val="lrTb"/>
            <w:noWrap w:val="false"/>
          </w:tcPr>
          <w:p>
            <w:pPr>
              <w:pStyle w:val="1015"/>
              <w:spacing w:line="440" w:lineRule="exact"/>
              <w:rPr>
                <w:rStyle w:val="1022"/>
                <w:rFonts w:eastAsia="宋体"/>
                <w:i/>
                <w:iCs/>
                <w:strike/>
                <w:color w:val="000000"/>
                <w:highlight w:val="none"/>
                <w:u w:val="single"/>
              </w:rPr>
            </w:pPr>
            <w:r>
              <w:rPr>
                <w:rStyle w:val="1022"/>
                <w:rFonts w:eastAsia="宋体"/>
                <w:i/>
                <w:iCs/>
                <w:color w:val="000000"/>
                <w:highlight w:val="none"/>
                <w:u w:val="single"/>
              </w:rPr>
              <w:t xml:space="preserve">1、投标人中标后，在合同签订前，须现场提供信息化智能预警监测装置平台系统的现场演示证明，若演示不符合本次采购需求的，</w:t>
            </w:r>
            <w:r>
              <w:rPr>
                <w:rStyle w:val="1022"/>
                <w:rFonts w:hint="eastAsia" w:eastAsia="宋体"/>
                <w:i/>
                <w:iCs/>
                <w:color w:val="000000"/>
                <w:highlight w:val="none"/>
                <w:u w:val="single"/>
              </w:rPr>
              <w:t xml:space="preserve">招标人</w:t>
            </w:r>
            <w:r>
              <w:rPr>
                <w:rStyle w:val="1022"/>
                <w:rFonts w:eastAsia="宋体"/>
                <w:i/>
                <w:iCs/>
                <w:color w:val="000000"/>
                <w:highlight w:val="none"/>
                <w:u w:val="single"/>
              </w:rPr>
              <w:t xml:space="preserve">有权拒绝签订合同，所造成的一切损失由中标人承担。</w:t>
            </w:r>
            <w:r/>
          </w:p>
          <w:p>
            <w:pPr>
              <w:pStyle w:val="1015"/>
              <w:spacing w:line="440" w:lineRule="exact"/>
              <w:rPr>
                <w:rStyle w:val="1022"/>
                <w:rFonts w:eastAsia="宋体"/>
                <w:i/>
                <w:iCs/>
                <w:strike/>
                <w:color w:val="000000"/>
                <w:highlight w:val="none"/>
                <w:u w:val="single"/>
              </w:rPr>
            </w:pPr>
            <w:r>
              <w:rPr>
                <w:rStyle w:val="1022"/>
                <w:rFonts w:eastAsia="宋体"/>
                <w:i/>
                <w:iCs/>
                <w:color w:val="000000"/>
                <w:highlight w:val="none"/>
                <w:u w:val="single"/>
              </w:rPr>
              <w:t xml:space="preserve">2、投标人中标后，在合同签订前须将项目负责人及其他人员资料（包括岗位人员名单、证书、联系电话、身份证复印件等）递交至</w:t>
            </w:r>
            <w:r>
              <w:rPr>
                <w:rStyle w:val="1022"/>
                <w:rFonts w:hint="eastAsia" w:eastAsia="宋体"/>
                <w:i/>
                <w:iCs/>
                <w:color w:val="000000"/>
                <w:highlight w:val="none"/>
                <w:u w:val="single"/>
              </w:rPr>
              <w:t xml:space="preserve">招标人</w:t>
            </w:r>
            <w:r>
              <w:rPr>
                <w:rStyle w:val="1022"/>
                <w:rFonts w:eastAsia="宋体"/>
                <w:i/>
                <w:iCs/>
                <w:color w:val="000000"/>
                <w:highlight w:val="none"/>
                <w:u w:val="single"/>
              </w:rPr>
              <w:t xml:space="preserve">处备案，所有服务人员须经</w:t>
            </w:r>
            <w:r>
              <w:rPr>
                <w:rStyle w:val="1022"/>
                <w:rFonts w:hint="eastAsia" w:eastAsia="宋体"/>
                <w:i/>
                <w:iCs/>
                <w:color w:val="000000"/>
                <w:highlight w:val="none"/>
                <w:u w:val="single"/>
              </w:rPr>
              <w:t xml:space="preserve">招标人</w:t>
            </w:r>
            <w:r>
              <w:rPr>
                <w:rStyle w:val="1022"/>
                <w:rFonts w:eastAsia="宋体"/>
                <w:i/>
                <w:iCs/>
                <w:color w:val="000000"/>
                <w:highlight w:val="none"/>
                <w:u w:val="single"/>
              </w:rPr>
              <w:t xml:space="preserve">确认后方可上岗。配备不到位，</w:t>
            </w:r>
            <w:r>
              <w:rPr>
                <w:rStyle w:val="1022"/>
                <w:rFonts w:hint="eastAsia" w:eastAsia="宋体"/>
                <w:i/>
                <w:iCs/>
                <w:color w:val="000000"/>
                <w:highlight w:val="none"/>
                <w:u w:val="single"/>
              </w:rPr>
              <w:t xml:space="preserve">招标人</w:t>
            </w:r>
            <w:r>
              <w:rPr>
                <w:rStyle w:val="1022"/>
                <w:rFonts w:eastAsia="宋体"/>
                <w:i/>
                <w:iCs/>
                <w:color w:val="000000"/>
                <w:highlight w:val="none"/>
                <w:u w:val="single"/>
              </w:rPr>
              <w:t xml:space="preserve">有权拒绝签订合同，所造成的一切损失由中标人承担。</w:t>
            </w:r>
            <w:r/>
          </w:p>
          <w:p>
            <w:pPr>
              <w:pStyle w:val="777"/>
              <w:spacing w:beforeAutospacing="0" w:afterAutospacing="0" w:line="440" w:lineRule="exact"/>
              <w:rPr>
                <w:rStyle w:val="1022"/>
                <w:rFonts w:ascii="Times New Roman" w:hAnsi="Times New Roman"/>
                <w:i/>
                <w:iCs/>
                <w:color w:val="000000"/>
                <w:highlight w:val="none"/>
                <w:u w:val="single"/>
              </w:rPr>
            </w:pPr>
            <w:r>
              <w:rPr>
                <w:rStyle w:val="1022"/>
                <w:rFonts w:ascii="Times New Roman" w:hAnsi="Times New Roman"/>
                <w:i/>
                <w:iCs/>
                <w:color w:val="000000"/>
                <w:highlight w:val="none"/>
                <w:u w:val="single"/>
              </w:rPr>
              <w:t xml:space="preserve">3、投标人中标后，提交投标文件里涉及</w:t>
            </w:r>
            <w:r>
              <w:rPr>
                <w:rStyle w:val="1022"/>
                <w:rFonts w:hint="eastAsia" w:ascii="Times New Roman" w:hAnsi="Times New Roman"/>
                <w:i/>
                <w:iCs/>
                <w:color w:val="000000"/>
                <w:highlight w:val="none"/>
                <w:u w:val="single"/>
              </w:rPr>
              <w:t xml:space="preserve">的</w:t>
            </w:r>
            <w:r>
              <w:rPr>
                <w:rFonts w:ascii="Times New Roman" w:hAnsi="Times New Roman"/>
                <w:i/>
                <w:iCs/>
                <w:color w:val="000000"/>
                <w:spacing w:val="7"/>
                <w:highlight w:val="none"/>
                <w:u w:val="single"/>
              </w:rPr>
              <w:t xml:space="preserve">相关证书、车辆证明、业绩合同、竣工报告等原件，提交的原件不</w:t>
            </w:r>
            <w:r>
              <w:rPr>
                <w:rStyle w:val="1022"/>
                <w:rFonts w:ascii="Times New Roman" w:hAnsi="Times New Roman"/>
                <w:i/>
                <w:iCs/>
                <w:color w:val="000000"/>
                <w:highlight w:val="none"/>
                <w:u w:val="single"/>
              </w:rPr>
              <w:t xml:space="preserve">符合本次采购需求的，</w:t>
            </w:r>
            <w:r>
              <w:rPr>
                <w:rStyle w:val="1022"/>
                <w:rFonts w:hint="eastAsia"/>
                <w:i/>
                <w:iCs/>
                <w:color w:val="000000"/>
                <w:highlight w:val="none"/>
                <w:u w:val="single"/>
              </w:rPr>
              <w:t xml:space="preserve">招标人</w:t>
            </w:r>
            <w:r>
              <w:rPr>
                <w:rStyle w:val="1022"/>
                <w:rFonts w:ascii="Times New Roman" w:hAnsi="Times New Roman"/>
                <w:i/>
                <w:iCs/>
                <w:color w:val="000000"/>
                <w:highlight w:val="none"/>
                <w:u w:val="single"/>
              </w:rPr>
              <w:t xml:space="preserve">有权拒绝签订合同，所造成的一切损失由中标人承担。</w:t>
            </w:r>
            <w:r/>
          </w:p>
          <w:p>
            <w:pPr>
              <w:pStyle w:val="777"/>
              <w:spacing w:beforeAutospacing="0" w:afterAutospacing="0" w:line="440" w:lineRule="exact"/>
              <w:rPr>
                <w:rFonts w:ascii="Times New Roman" w:hAnsi="Times New Roman"/>
                <w:color w:val="000000"/>
                <w:highlight w:val="none"/>
              </w:rPr>
            </w:pPr>
            <w:r>
              <w:rPr>
                <w:rStyle w:val="1022"/>
                <w:rFonts w:ascii="Times New Roman" w:hAnsi="Times New Roman"/>
                <w:color w:val="000000"/>
                <w:highlight w:val="none"/>
              </w:rPr>
              <w:t xml:space="preserve">4、投标人可对项目现场进行踏勘，但费用由投标人自行承担。投标人在报价时应充分考虑现场实际情况，</w:t>
            </w:r>
            <w:r>
              <w:rPr>
                <w:rStyle w:val="1022"/>
                <w:rFonts w:hint="eastAsia" w:ascii="Times New Roman" w:hAnsi="Times New Roman"/>
                <w:color w:val="000000"/>
                <w:highlight w:val="none"/>
              </w:rPr>
              <w:t xml:space="preserve">招标人</w:t>
            </w:r>
            <w:r>
              <w:rPr>
                <w:rStyle w:val="1022"/>
                <w:rFonts w:ascii="Times New Roman" w:hAnsi="Times New Roman"/>
                <w:color w:val="000000"/>
                <w:highlight w:val="none"/>
              </w:rPr>
              <w:t xml:space="preserve">不负担因投标人对项目现场情况考虑</w:t>
            </w:r>
            <w:r>
              <w:rPr>
                <w:rStyle w:val="1022"/>
                <w:rFonts w:hint="eastAsia" w:ascii="Times New Roman" w:hAnsi="Times New Roman"/>
                <w:color w:val="000000"/>
                <w:highlight w:val="none"/>
              </w:rPr>
              <w:t xml:space="preserve">不周而产生的其他任何费用</w:t>
            </w:r>
            <w:r>
              <w:rPr>
                <w:rStyle w:val="1022"/>
                <w:rFonts w:ascii="Times New Roman" w:hAnsi="Times New Roman"/>
                <w:color w:val="000000"/>
                <w:highlight w:val="none"/>
              </w:rPr>
              <w:t xml:space="preserve">。</w:t>
            </w:r>
            <w:bookmarkEnd w:id="169"/>
            <w:r/>
            <w:r/>
          </w:p>
        </w:tc>
      </w:tr>
    </w:tbl>
    <w:p>
      <w:pPr>
        <w:spacing w:before="120" w:after="120"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三、商务条款</w:t>
      </w:r>
      <w:r/>
    </w:p>
    <w:p>
      <w:pPr>
        <w:pStyle w:val="962"/>
        <w:ind w:firstLine="500"/>
        <w:spacing w:line="440" w:lineRule="exact"/>
        <w:rPr>
          <w:rFonts w:eastAsia="宋体"/>
          <w:b/>
          <w:spacing w:val="7"/>
          <w:highlight w:val="none"/>
        </w:rPr>
      </w:pPr>
      <w:r>
        <w:rPr>
          <w:rFonts w:eastAsia="宋体"/>
          <w:b/>
          <w:spacing w:val="7"/>
          <w:highlight w:val="none"/>
        </w:rPr>
        <w:t xml:space="preserve">1 服务期限</w:t>
      </w:r>
      <w:r/>
    </w:p>
    <w:p>
      <w:pPr>
        <w:pStyle w:val="962"/>
        <w:ind w:firstLine="500"/>
        <w:spacing w:line="440" w:lineRule="exact"/>
        <w:rPr>
          <w:rFonts w:eastAsia="宋体"/>
          <w:i/>
          <w:spacing w:val="7"/>
          <w:highlight w:val="none"/>
          <w:u w:val="single"/>
        </w:rPr>
      </w:pPr>
      <w:r>
        <w:rPr>
          <w:rFonts w:eastAsia="宋体"/>
          <w:i/>
          <w:spacing w:val="7"/>
          <w:highlight w:val="none"/>
          <w:u w:val="single"/>
        </w:rPr>
        <w:t xml:space="preserve">1.1 服务期限</w:t>
      </w:r>
      <w:r/>
    </w:p>
    <w:p>
      <w:pPr>
        <w:ind w:firstLine="556"/>
        <w:spacing w:line="440" w:lineRule="exact"/>
        <w:shd w:val="clear" w:color="auto" w:fill="ffffff"/>
        <w:widowControl/>
        <w:rPr>
          <w:i/>
          <w:iCs/>
          <w:color w:val="000000"/>
          <w:szCs w:val="24"/>
          <w:highlight w:val="none"/>
          <w:u w:val="single"/>
        </w:rPr>
      </w:pPr>
      <w:r>
        <w:rPr>
          <w:rFonts w:hint="eastAsia" w:ascii="Times New Roman" w:hAnsi="Times New Roman"/>
          <w:i/>
          <w:iCs/>
          <w:color w:val="000000"/>
          <w:sz w:val="24"/>
          <w:szCs w:val="24"/>
          <w:highlight w:val="none"/>
          <w:u w:val="single"/>
        </w:rPr>
        <w:t xml:space="preserve">自合同签订之日起</w:t>
      </w:r>
      <w:r>
        <w:rPr>
          <w:rFonts w:ascii="Times New Roman" w:hAnsi="Times New Roman"/>
          <w:i/>
          <w:iCs/>
          <w:color w:val="000000"/>
          <w:sz w:val="24"/>
          <w:szCs w:val="24"/>
          <w:highlight w:val="none"/>
          <w:u w:val="single"/>
        </w:rPr>
        <w:t xml:space="preserve">至2026年12月30日。期间开展两轮普查及治理，2026年5月底完成第一轮普查治理，出具普查治理报告；2026年11月底完成第二轮普查，同时对长江重点堤段进行安全健康评估并出具报告。</w:t>
      </w:r>
      <w:r/>
    </w:p>
    <w:p>
      <w:pPr>
        <w:pStyle w:val="962"/>
        <w:ind w:firstLine="500"/>
        <w:spacing w:line="440" w:lineRule="exact"/>
        <w:rPr>
          <w:rFonts w:eastAsia="宋体"/>
          <w:i/>
          <w:iCs/>
          <w:highlight w:val="none"/>
          <w:u w:val="single"/>
        </w:rPr>
      </w:pPr>
      <w:r>
        <w:rPr>
          <w:rFonts w:eastAsia="宋体"/>
          <w:i/>
          <w:iCs/>
          <w:highlight w:val="none"/>
          <w:u w:val="single"/>
        </w:rPr>
        <w:t xml:space="preserve">1.2 服务地点</w:t>
      </w:r>
      <w:r/>
    </w:p>
    <w:p>
      <w:pPr>
        <w:pStyle w:val="962"/>
        <w:ind w:firstLine="500"/>
        <w:spacing w:line="440" w:lineRule="exact"/>
        <w:rPr>
          <w:rFonts w:eastAsia="宋体"/>
          <w:i/>
          <w:iCs/>
          <w:highlight w:val="none"/>
          <w:u w:val="single"/>
        </w:rPr>
      </w:pPr>
      <w:r>
        <w:rPr>
          <w:rFonts w:hint="eastAsia" w:eastAsia="宋体"/>
          <w:i/>
          <w:iCs/>
          <w:highlight w:val="none"/>
          <w:u w:val="single"/>
        </w:rPr>
        <w:t xml:space="preserve">招标人</w:t>
      </w:r>
      <w:r>
        <w:rPr>
          <w:rFonts w:eastAsia="宋体"/>
          <w:i/>
          <w:iCs/>
          <w:highlight w:val="none"/>
          <w:u w:val="single"/>
        </w:rPr>
        <w:t xml:space="preserve">指定地点。</w:t>
      </w:r>
      <w:r/>
    </w:p>
    <w:p>
      <w:pPr>
        <w:pStyle w:val="962"/>
        <w:ind w:firstLine="500"/>
        <w:spacing w:line="440" w:lineRule="exact"/>
        <w:rPr>
          <w:rFonts w:eastAsia="宋体"/>
          <w:b/>
          <w:spacing w:val="7"/>
          <w:highlight w:val="none"/>
        </w:rPr>
      </w:pPr>
      <w:r>
        <w:rPr>
          <w:rFonts w:eastAsia="宋体"/>
          <w:b/>
          <w:spacing w:val="7"/>
          <w:highlight w:val="none"/>
        </w:rPr>
        <w:t xml:space="preserve">2 货款支付</w:t>
      </w:r>
      <w:r/>
    </w:p>
    <w:p>
      <w:pPr>
        <w:pStyle w:val="962"/>
        <w:ind w:firstLine="500"/>
        <w:spacing w:line="440" w:lineRule="exact"/>
        <w:rPr>
          <w:rFonts w:eastAsia="宋体"/>
          <w:i/>
          <w:spacing w:val="7"/>
          <w:highlight w:val="none"/>
          <w:u w:val="single"/>
        </w:rPr>
      </w:pPr>
      <w:r>
        <w:rPr>
          <w:rFonts w:eastAsia="宋体"/>
          <w:i/>
          <w:spacing w:val="7"/>
          <w:highlight w:val="none"/>
          <w:u w:val="single"/>
        </w:rPr>
        <w:t xml:space="preserve">2.1 结付程序</w:t>
      </w:r>
      <w:r/>
    </w:p>
    <w:p>
      <w:pPr>
        <w:pStyle w:val="962"/>
        <w:ind w:firstLine="500"/>
        <w:spacing w:line="440" w:lineRule="exact"/>
        <w:rPr>
          <w:rFonts w:eastAsia="宋体"/>
          <w:i/>
          <w:spacing w:val="7"/>
          <w:highlight w:val="none"/>
          <w:u w:val="single"/>
        </w:rPr>
      </w:pPr>
      <w:r>
        <w:rPr>
          <w:rFonts w:eastAsia="宋体"/>
          <w:i/>
          <w:spacing w:val="7"/>
          <w:highlight w:val="none"/>
          <w:u w:val="single"/>
        </w:rPr>
        <w:t xml:space="preserve">（1）供方按本合同内容合格地履行服务义务后，凭确认结算金额、发票到采购单位办理合同款结算手续。</w:t>
      </w:r>
      <w:r/>
    </w:p>
    <w:p>
      <w:pPr>
        <w:pStyle w:val="962"/>
        <w:ind w:firstLine="500"/>
        <w:spacing w:line="440" w:lineRule="exact"/>
        <w:rPr>
          <w:rFonts w:eastAsia="宋体"/>
          <w:i/>
          <w:spacing w:val="7"/>
          <w:highlight w:val="none"/>
          <w:u w:val="single"/>
        </w:rPr>
      </w:pPr>
      <w:r>
        <w:rPr>
          <w:rFonts w:eastAsia="宋体"/>
          <w:i/>
          <w:spacing w:val="7"/>
          <w:highlight w:val="none"/>
          <w:u w:val="single"/>
        </w:rPr>
        <w:t xml:space="preserve">2.2 结付期限</w:t>
      </w:r>
      <w:r/>
    </w:p>
    <w:p>
      <w:pPr>
        <w:ind w:firstLine="482"/>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pacing w:val="7"/>
          <w:sz w:val="24"/>
          <w:highlight w:val="none"/>
          <w:u w:val="single"/>
        </w:rPr>
        <w:t xml:space="preserve">合同签订生效后，</w:t>
      </w:r>
      <w:r>
        <w:rPr>
          <w:rFonts w:hint="eastAsia" w:ascii="宋体" w:hAnsi="宋体" w:cs="宋体"/>
          <w:i/>
          <w:color w:val="000000"/>
          <w:spacing w:val="7"/>
          <w:sz w:val="24"/>
          <w:highlight w:val="none"/>
          <w:u w:val="single"/>
        </w:rPr>
        <w:t xml:space="preserve">招标人</w:t>
      </w:r>
      <w:r>
        <w:rPr>
          <w:rFonts w:ascii="Times New Roman" w:hAnsi="Times New Roman" w:eastAsia="Times New Roman"/>
          <w:i/>
          <w:color w:val="000000"/>
          <w:spacing w:val="7"/>
          <w:sz w:val="24"/>
          <w:highlight w:val="none"/>
          <w:u w:val="single"/>
        </w:rPr>
        <w:t xml:space="preserve">30</w:t>
      </w:r>
      <w:r>
        <w:rPr>
          <w:rFonts w:ascii="宋体" w:hAnsi="宋体" w:cs="宋体"/>
          <w:i/>
          <w:color w:val="000000"/>
          <w:spacing w:val="7"/>
          <w:sz w:val="24"/>
          <w:highlight w:val="none"/>
          <w:u w:val="single"/>
        </w:rPr>
        <w:t xml:space="preserve">天内支付合同金额的</w:t>
      </w:r>
      <w:r>
        <w:rPr>
          <w:rFonts w:hint="eastAsia" w:ascii="Times New Roman" w:hAnsi="Times New Roman"/>
          <w:i/>
          <w:color w:val="000000"/>
          <w:spacing w:val="7"/>
          <w:sz w:val="24"/>
          <w:highlight w:val="none"/>
          <w:u w:val="single"/>
        </w:rPr>
        <w:t xml:space="preserve">80</w:t>
      </w:r>
      <w:r>
        <w:rPr>
          <w:rFonts w:ascii="Times New Roman" w:hAnsi="Times New Roman" w:eastAsia="Times New Roman"/>
          <w:i/>
          <w:color w:val="000000"/>
          <w:spacing w:val="7"/>
          <w:sz w:val="24"/>
          <w:highlight w:val="none"/>
          <w:u w:val="single"/>
        </w:rPr>
        <w:t xml:space="preserve">%</w:t>
      </w:r>
      <w:r>
        <w:rPr>
          <w:rFonts w:ascii="宋体" w:hAnsi="宋体" w:cs="宋体"/>
          <w:i/>
          <w:color w:val="000000"/>
          <w:spacing w:val="7"/>
          <w:sz w:val="24"/>
          <w:highlight w:val="none"/>
          <w:u w:val="single"/>
        </w:rPr>
        <w:t xml:space="preserve">作为预付款（具体以财政实际拨付为准。在签订合同时，中标人明确表示无需预付款或者主动要求降低预付款比例的，</w:t>
      </w:r>
      <w:r>
        <w:rPr>
          <w:rFonts w:hint="eastAsia" w:ascii="宋体" w:hAnsi="宋体" w:cs="宋体"/>
          <w:i/>
          <w:color w:val="000000"/>
          <w:spacing w:val="7"/>
          <w:sz w:val="24"/>
          <w:highlight w:val="none"/>
          <w:u w:val="single"/>
        </w:rPr>
        <w:t xml:space="preserve">招标人</w:t>
      </w:r>
      <w:r>
        <w:rPr>
          <w:rFonts w:ascii="宋体" w:hAnsi="宋体" w:cs="宋体"/>
          <w:i/>
          <w:color w:val="000000"/>
          <w:spacing w:val="7"/>
          <w:sz w:val="24"/>
          <w:highlight w:val="none"/>
          <w:u w:val="single"/>
        </w:rPr>
        <w:t xml:space="preserve">可不适用上述关于预付款的约定）</w:t>
      </w:r>
      <w:r>
        <w:rPr>
          <w:rFonts w:ascii="宋体" w:hAnsi="宋体" w:cs="宋体"/>
          <w:i/>
          <w:color w:val="000000"/>
          <w:sz w:val="24"/>
          <w:highlight w:val="none"/>
          <w:u w:val="single"/>
        </w:rPr>
        <w:t xml:space="preserve">，《2024年度白蚁等害堤动物普查及治理项目》中已普查到的受害堤防的治理全部完成并出具相应的治理结果报告书，经</w:t>
      </w:r>
      <w:r>
        <w:rPr>
          <w:rFonts w:hint="eastAsia" w:ascii="宋体" w:hAnsi="宋体" w:cs="宋体"/>
          <w:i/>
          <w:color w:val="000000"/>
          <w:spacing w:val="7"/>
          <w:sz w:val="24"/>
          <w:highlight w:val="none"/>
          <w:u w:val="single"/>
        </w:rPr>
        <w:t xml:space="preserve">招标人</w:t>
      </w:r>
      <w:r>
        <w:rPr>
          <w:rFonts w:ascii="宋体" w:hAnsi="宋体" w:cs="宋体"/>
          <w:i/>
          <w:color w:val="000000"/>
          <w:sz w:val="24"/>
          <w:highlight w:val="none"/>
          <w:u w:val="single"/>
        </w:rPr>
        <w:t xml:space="preserve">验收合格及根据考核结果（考核方式详见</w:t>
      </w:r>
      <w:r>
        <w:rPr>
          <w:rFonts w:hint="eastAsia" w:ascii="宋体" w:hAnsi="宋体" w:cs="宋体"/>
          <w:i/>
          <w:color w:val="000000"/>
          <w:sz w:val="24"/>
          <w:highlight w:val="none"/>
          <w:u w:val="single"/>
        </w:rPr>
        <w:t xml:space="preserve">招标文件第四章项目需求/四、其他部分/3、考核细则</w:t>
      </w:r>
      <w:r>
        <w:rPr>
          <w:rFonts w:ascii="宋体" w:hAnsi="宋体" w:cs="宋体"/>
          <w:i/>
          <w:color w:val="000000"/>
          <w:sz w:val="24"/>
          <w:highlight w:val="none"/>
          <w:u w:val="single"/>
        </w:rPr>
        <w:t xml:space="preserve">）</w:t>
      </w:r>
      <w:r>
        <w:rPr>
          <w:rFonts w:hint="eastAsia" w:ascii="宋体" w:hAnsi="宋体" w:cs="宋体"/>
          <w:i/>
          <w:color w:val="000000"/>
          <w:sz w:val="24"/>
          <w:highlight w:val="none"/>
          <w:u w:val="single"/>
        </w:rPr>
        <w:t xml:space="preserve">，</w:t>
      </w:r>
      <w:r>
        <w:rPr>
          <w:rFonts w:ascii="宋体" w:hAnsi="宋体" w:cs="宋体"/>
          <w:i/>
          <w:color w:val="000000"/>
          <w:sz w:val="24"/>
          <w:highlight w:val="none"/>
          <w:u w:val="single"/>
        </w:rPr>
        <w:t xml:space="preserve">付清全部款项；完成2025年白蚁等害堤动物的普查及治理工作并出具相应的普查结果报告书，完成安全健康评估报告，经</w:t>
      </w:r>
      <w:r>
        <w:rPr>
          <w:rFonts w:hint="eastAsia" w:ascii="宋体" w:hAnsi="宋体" w:cs="宋体"/>
          <w:i/>
          <w:color w:val="000000"/>
          <w:spacing w:val="7"/>
          <w:sz w:val="24"/>
          <w:highlight w:val="none"/>
          <w:u w:val="single"/>
        </w:rPr>
        <w:t xml:space="preserve">招标人</w:t>
      </w:r>
      <w:r>
        <w:rPr>
          <w:rFonts w:ascii="宋体" w:hAnsi="宋体" w:cs="宋体"/>
          <w:i/>
          <w:color w:val="000000"/>
          <w:sz w:val="24"/>
          <w:highlight w:val="none"/>
          <w:u w:val="single"/>
        </w:rPr>
        <w:t xml:space="preserve">验收合格及根据考核结果（考核方式详见</w:t>
      </w:r>
      <w:r>
        <w:rPr>
          <w:rFonts w:hint="eastAsia" w:ascii="宋体" w:hAnsi="宋体" w:cs="宋体"/>
          <w:i/>
          <w:color w:val="000000"/>
          <w:sz w:val="24"/>
          <w:highlight w:val="none"/>
          <w:u w:val="single"/>
        </w:rPr>
        <w:t xml:space="preserve">招标文件第四章项目需求/四、其他部分/3、考核细则</w:t>
      </w:r>
      <w:r>
        <w:rPr>
          <w:rFonts w:ascii="宋体" w:hAnsi="宋体" w:cs="宋体"/>
          <w:i/>
          <w:color w:val="000000"/>
          <w:sz w:val="24"/>
          <w:highlight w:val="none"/>
          <w:u w:val="single"/>
        </w:rPr>
        <w:t xml:space="preserve">），</w:t>
      </w:r>
      <w:r>
        <w:rPr>
          <w:rFonts w:hint="eastAsia" w:ascii="宋体" w:hAnsi="宋体" w:cs="宋体"/>
          <w:i/>
          <w:color w:val="000000"/>
          <w:sz w:val="24"/>
          <w:highlight w:val="none"/>
          <w:u w:val="single"/>
        </w:rPr>
        <w:t xml:space="preserve">退回履约保证金</w:t>
      </w:r>
      <w:r>
        <w:rPr>
          <w:rFonts w:ascii="宋体" w:hAnsi="宋体" w:cs="宋体"/>
          <w:i/>
          <w:color w:val="000000"/>
          <w:sz w:val="24"/>
          <w:highlight w:val="none"/>
          <w:u w:val="single"/>
        </w:rPr>
        <w:t xml:space="preserve">。考核得分与实际付款金额挂钩，实际付款金额按下述方法支付：</w:t>
      </w:r>
      <w:r/>
    </w:p>
    <w:tbl>
      <w:tblPr>
        <w:tblStyle w:val="75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92"/>
        <w:gridCol w:w="1526"/>
        <w:gridCol w:w="1544"/>
        <w:gridCol w:w="1544"/>
        <w:gridCol w:w="1544"/>
        <w:gridCol w:w="1540"/>
      </w:tblGrid>
      <w:tr>
        <w:trPr>
          <w:jc w:val="center"/>
          <w:trHeight w:val="62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0" w:type="dxa"/>
            <w:textDirection w:val="lrTb"/>
            <w:noWrap w:val="false"/>
          </w:tcPr>
          <w:p>
            <w:pPr>
              <w:jc w:val="center"/>
              <w:spacing w:before="198"/>
              <w:rPr>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pacing w:val="-2"/>
                <w:sz w:val="24"/>
                <w:highlight w:val="none"/>
                <w:u w:val="single"/>
              </w:rPr>
              <w:t xml:space="preserve">考核得分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0" w:type="dxa"/>
            <w:textDirection w:val="lrTb"/>
            <w:noWrap w:val="false"/>
          </w:tcPr>
          <w:p>
            <w:pPr>
              <w:jc w:val="center"/>
              <w:spacing w:before="199"/>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i/>
                <w:color w:val="000000"/>
                <w:spacing w:val="-3"/>
                <w:sz w:val="24"/>
                <w:highlight w:val="none"/>
                <w:u w:val="single"/>
              </w:rPr>
              <w:t xml:space="preserve">90</w:t>
            </w:r>
            <w:r>
              <w:rPr>
                <w:rFonts w:ascii="宋体" w:hAnsi="宋体" w:cs="宋体"/>
                <w:i/>
                <w:color w:val="000000"/>
                <w:spacing w:val="-3"/>
                <w:sz w:val="24"/>
                <w:highlight w:val="none"/>
                <w:u w:val="single"/>
              </w:rPr>
              <w:t xml:space="preserve">分及以上</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0" w:type="dxa"/>
            <w:textDirection w:val="lrTb"/>
            <w:noWrap w:val="false"/>
          </w:tcPr>
          <w:p>
            <w:pPr>
              <w:jc w:val="center"/>
              <w:spacing w:before="199"/>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i/>
                <w:color w:val="000000"/>
                <w:spacing w:val="15"/>
                <w:sz w:val="24"/>
                <w:highlight w:val="none"/>
                <w:u w:val="single"/>
              </w:rPr>
              <w:t xml:space="preserve">80</w:t>
            </w:r>
            <w:r>
              <w:rPr>
                <w:rFonts w:ascii="宋体" w:hAnsi="宋体" w:cs="宋体"/>
                <w:i/>
                <w:color w:val="000000"/>
                <w:spacing w:val="15"/>
                <w:sz w:val="24"/>
                <w:highlight w:val="none"/>
                <w:u w:val="single"/>
              </w:rPr>
              <w:t xml:space="preserve">~</w:t>
            </w:r>
            <w:r>
              <w:rPr>
                <w:rFonts w:ascii="Times New Roman" w:hAnsi="Times New Roman" w:eastAsia="Times New Roman"/>
                <w:i/>
                <w:color w:val="000000"/>
                <w:spacing w:val="15"/>
                <w:sz w:val="24"/>
                <w:highlight w:val="none"/>
                <w:u w:val="single"/>
              </w:rPr>
              <w:t xml:space="preserve">89</w:t>
            </w:r>
            <w:r>
              <w:rPr>
                <w:rFonts w:ascii="宋体" w:hAnsi="宋体" w:cs="宋体"/>
                <w:i/>
                <w:color w:val="000000"/>
                <w:spacing w:val="15"/>
                <w:sz w:val="24"/>
                <w:highlight w:val="none"/>
                <w:u w:val="single"/>
              </w:rPr>
              <w:t xml:space="preserve">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0" w:type="dxa"/>
            <w:textDirection w:val="lrTb"/>
            <w:noWrap w:val="false"/>
          </w:tcPr>
          <w:p>
            <w:pPr>
              <w:jc w:val="center"/>
              <w:spacing w:before="199"/>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i/>
                <w:color w:val="000000"/>
                <w:spacing w:val="16"/>
                <w:sz w:val="24"/>
                <w:highlight w:val="none"/>
                <w:u w:val="single"/>
              </w:rPr>
              <w:t xml:space="preserve">70</w:t>
            </w:r>
            <w:r>
              <w:rPr>
                <w:rFonts w:ascii="宋体" w:hAnsi="宋体" w:cs="宋体"/>
                <w:i/>
                <w:color w:val="000000"/>
                <w:spacing w:val="16"/>
                <w:sz w:val="24"/>
                <w:highlight w:val="none"/>
                <w:u w:val="single"/>
              </w:rPr>
              <w:t xml:space="preserve">~</w:t>
            </w:r>
            <w:r>
              <w:rPr>
                <w:rFonts w:ascii="Times New Roman" w:hAnsi="Times New Roman" w:eastAsia="Times New Roman"/>
                <w:i/>
                <w:color w:val="000000"/>
                <w:spacing w:val="16"/>
                <w:sz w:val="24"/>
                <w:highlight w:val="none"/>
                <w:u w:val="single"/>
              </w:rPr>
              <w:t xml:space="preserve">79</w:t>
            </w:r>
            <w:r>
              <w:rPr>
                <w:rFonts w:ascii="宋体" w:hAnsi="宋体" w:cs="宋体"/>
                <w:i/>
                <w:color w:val="000000"/>
                <w:spacing w:val="15"/>
                <w:sz w:val="24"/>
                <w:highlight w:val="none"/>
                <w:u w:val="single"/>
              </w:rPr>
              <w:t xml:space="preserve">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0" w:type="dxa"/>
            <w:textDirection w:val="lrTb"/>
            <w:noWrap w:val="false"/>
          </w:tcPr>
          <w:p>
            <w:pPr>
              <w:jc w:val="center"/>
              <w:spacing w:before="199"/>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i/>
                <w:color w:val="000000"/>
                <w:spacing w:val="19"/>
                <w:sz w:val="24"/>
                <w:highlight w:val="none"/>
                <w:u w:val="single"/>
              </w:rPr>
              <w:t xml:space="preserve">6</w:t>
            </w:r>
            <w:r>
              <w:rPr>
                <w:rFonts w:ascii="Times New Roman" w:hAnsi="Times New Roman" w:eastAsia="Times New Roman"/>
                <w:i/>
                <w:color w:val="000000"/>
                <w:spacing w:val="15"/>
                <w:sz w:val="24"/>
                <w:highlight w:val="none"/>
                <w:u w:val="single"/>
              </w:rPr>
              <w:t xml:space="preserve">0</w:t>
            </w:r>
            <w:r>
              <w:rPr>
                <w:rFonts w:ascii="宋体" w:hAnsi="宋体" w:cs="宋体"/>
                <w:i/>
                <w:color w:val="000000"/>
                <w:spacing w:val="15"/>
                <w:sz w:val="24"/>
                <w:highlight w:val="none"/>
                <w:u w:val="single"/>
              </w:rPr>
              <w:t xml:space="preserve">~</w:t>
            </w:r>
            <w:r>
              <w:rPr>
                <w:rFonts w:ascii="Times New Roman" w:hAnsi="Times New Roman" w:eastAsia="Times New Roman"/>
                <w:i/>
                <w:color w:val="000000"/>
                <w:spacing w:val="15"/>
                <w:sz w:val="24"/>
                <w:highlight w:val="none"/>
                <w:u w:val="single"/>
              </w:rPr>
              <w:t xml:space="preserve">69</w:t>
            </w:r>
            <w:r>
              <w:rPr>
                <w:rFonts w:ascii="宋体" w:hAnsi="宋体" w:cs="宋体"/>
                <w:i/>
                <w:color w:val="000000"/>
                <w:spacing w:val="15"/>
                <w:sz w:val="24"/>
                <w:highlight w:val="none"/>
                <w:u w:val="single"/>
              </w:rPr>
              <w:t xml:space="preserve">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3" w:type="dxa"/>
            <w:textDirection w:val="lrTb"/>
            <w:noWrap w:val="false"/>
          </w:tcPr>
          <w:p>
            <w:pPr>
              <w:jc w:val="center"/>
              <w:spacing w:before="199"/>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i/>
                <w:color w:val="000000"/>
                <w:spacing w:val="-4"/>
                <w:sz w:val="24"/>
                <w:highlight w:val="none"/>
                <w:u w:val="single"/>
              </w:rPr>
              <w:t xml:space="preserve">6</w:t>
            </w:r>
            <w:r>
              <w:rPr>
                <w:rFonts w:ascii="Times New Roman" w:hAnsi="Times New Roman" w:eastAsia="Times New Roman"/>
                <w:i/>
                <w:color w:val="000000"/>
                <w:spacing w:val="-3"/>
                <w:sz w:val="24"/>
                <w:highlight w:val="none"/>
                <w:u w:val="single"/>
              </w:rPr>
              <w:t xml:space="preserve">0</w:t>
            </w:r>
            <w:r>
              <w:rPr>
                <w:rFonts w:ascii="宋体" w:hAnsi="宋体" w:cs="宋体"/>
                <w:i/>
                <w:color w:val="000000"/>
                <w:spacing w:val="-3"/>
                <w:sz w:val="24"/>
                <w:highlight w:val="none"/>
                <w:u w:val="single"/>
              </w:rPr>
              <w:t xml:space="preserve">分以下</w:t>
            </w:r>
            <w:r/>
          </w:p>
        </w:tc>
      </w:tr>
      <w:tr>
        <w:trPr>
          <w:jc w:val="center"/>
          <w:trHeight w:val="7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0" w:type="dxa"/>
            <w:textDirection w:val="lrTb"/>
            <w:noWrap w:val="false"/>
          </w:tcPr>
          <w:p>
            <w:pPr>
              <w:jc w:val="center"/>
              <w:spacing w:before="240"/>
              <w:rPr>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pacing w:val="-2"/>
                <w:sz w:val="24"/>
                <w:highlight w:val="none"/>
                <w:u w:val="single"/>
              </w:rPr>
              <w:t xml:space="preserve">付款比例</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textDirection w:val="lrTb"/>
            <w:noWrap w:val="false"/>
          </w:tcPr>
          <w:p>
            <w:pPr>
              <w:jc w:val="center"/>
              <w:spacing w:before="240"/>
              <w:rPr>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pacing w:val="-2"/>
                <w:sz w:val="24"/>
                <w:highlight w:val="none"/>
                <w:u w:val="single"/>
              </w:rPr>
              <w:t xml:space="preserve">全额付款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textDirection w:val="lrTb"/>
            <w:noWrap w:val="false"/>
          </w:tcPr>
          <w:p>
            <w:pPr>
              <w:jc w:val="center"/>
              <w:spacing w:before="240"/>
              <w:rPr>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pacing w:val="-3"/>
                <w:sz w:val="24"/>
                <w:highlight w:val="none"/>
                <w:u w:val="single"/>
              </w:rPr>
              <w:t xml:space="preserve">九折付款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textDirection w:val="lrTb"/>
            <w:noWrap w:val="false"/>
          </w:tcPr>
          <w:p>
            <w:pPr>
              <w:jc w:val="center"/>
              <w:spacing w:before="240"/>
              <w:rPr>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pacing w:val="-4"/>
                <w:sz w:val="24"/>
                <w:highlight w:val="none"/>
                <w:u w:val="single"/>
              </w:rPr>
              <w:t xml:space="preserve">八</w:t>
            </w:r>
            <w:r>
              <w:rPr>
                <w:rFonts w:ascii="宋体" w:hAnsi="宋体" w:cs="宋体"/>
                <w:i/>
                <w:color w:val="000000"/>
                <w:spacing w:val="-2"/>
                <w:sz w:val="24"/>
                <w:highlight w:val="none"/>
                <w:u w:val="single"/>
              </w:rPr>
              <w:t xml:space="preserve">折付款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textDirection w:val="lrTb"/>
            <w:noWrap w:val="false"/>
          </w:tcPr>
          <w:p>
            <w:pPr>
              <w:jc w:val="center"/>
              <w:spacing w:before="240"/>
              <w:rPr>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pacing w:val="-2"/>
                <w:sz w:val="24"/>
                <w:highlight w:val="none"/>
                <w:u w:val="single"/>
              </w:rPr>
              <w:t xml:space="preserve">七折付</w:t>
            </w:r>
            <w:r>
              <w:rPr>
                <w:rFonts w:ascii="宋体" w:hAnsi="宋体" w:cs="宋体"/>
                <w:i/>
                <w:color w:val="000000"/>
                <w:spacing w:val="-1"/>
                <w:sz w:val="24"/>
                <w:highlight w:val="none"/>
                <w:u w:val="single"/>
              </w:rPr>
              <w:t xml:space="preserve">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3" w:type="dxa"/>
            <w:textDirection w:val="lrTb"/>
            <w:noWrap w:val="false"/>
          </w:tcPr>
          <w:p>
            <w:pPr>
              <w:jc w:val="center"/>
              <w:spacing w:before="240"/>
              <w:rPr>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pacing w:val="-3"/>
                <w:sz w:val="24"/>
                <w:highlight w:val="none"/>
                <w:u w:val="single"/>
              </w:rPr>
              <w:t xml:space="preserve">六</w:t>
            </w:r>
            <w:r>
              <w:rPr>
                <w:rFonts w:ascii="宋体" w:hAnsi="宋体" w:cs="宋体"/>
                <w:i/>
                <w:color w:val="000000"/>
                <w:spacing w:val="-2"/>
                <w:sz w:val="24"/>
                <w:highlight w:val="none"/>
                <w:u w:val="single"/>
              </w:rPr>
              <w:t xml:space="preserve">折付款</w:t>
            </w:r>
            <w:r/>
          </w:p>
        </w:tc>
      </w:tr>
    </w:tbl>
    <w:p>
      <w:pPr>
        <w:ind w:firstLine="24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i/>
          <w:color w:val="000000"/>
          <w:sz w:val="24"/>
          <w:highlight w:val="none"/>
          <w:u w:val="single"/>
        </w:rPr>
        <w:t xml:space="preserve">实际</w:t>
      </w:r>
      <w:r>
        <w:rPr>
          <w:rFonts w:ascii="宋体" w:hAnsi="宋体" w:cs="宋体"/>
          <w:i/>
          <w:color w:val="000000"/>
          <w:spacing w:val="7"/>
          <w:sz w:val="24"/>
          <w:highlight w:val="none"/>
          <w:u w:val="single"/>
        </w:rPr>
        <w:t xml:space="preserve">付款</w:t>
      </w:r>
      <w:r>
        <w:rPr>
          <w:rFonts w:ascii="宋体" w:hAnsi="宋体" w:cs="宋体"/>
          <w:i/>
          <w:color w:val="000000"/>
          <w:sz w:val="24"/>
          <w:highlight w:val="none"/>
          <w:u w:val="single"/>
        </w:rPr>
        <w:t xml:space="preserve">金额</w:t>
      </w:r>
      <w:r>
        <w:rPr>
          <w:rFonts w:ascii="Times New Roman" w:hAnsi="Times New Roman" w:eastAsia="Times New Roman"/>
          <w:i/>
          <w:color w:val="000000"/>
          <w:sz w:val="24"/>
          <w:highlight w:val="none"/>
          <w:u w:val="single"/>
        </w:rPr>
        <w:t xml:space="preserve">=</w:t>
      </w:r>
      <w:r>
        <w:rPr>
          <w:rFonts w:ascii="宋体" w:hAnsi="宋体" w:cs="宋体"/>
          <w:i/>
          <w:color w:val="000000"/>
          <w:sz w:val="24"/>
          <w:highlight w:val="none"/>
          <w:u w:val="single"/>
        </w:rPr>
        <w:t xml:space="preserve">合同总金额</w:t>
      </w:r>
      <w:r>
        <w:rPr>
          <w:rFonts w:ascii="宋体" w:hAnsi="宋体" w:cs="宋体"/>
          <w:i/>
          <w:color w:val="000000"/>
          <w:spacing w:val="7"/>
          <w:sz w:val="24"/>
          <w:highlight w:val="none"/>
          <w:u w:val="single"/>
        </w:rPr>
        <w:t xml:space="preserve">×付款比例。</w:t>
      </w:r>
      <w:r/>
    </w:p>
    <w:p>
      <w:pPr>
        <w:pStyle w:val="962"/>
        <w:ind w:firstLine="500"/>
        <w:spacing w:line="440" w:lineRule="exact"/>
        <w:rPr>
          <w:rFonts w:eastAsia="宋体"/>
          <w:b/>
          <w:spacing w:val="7"/>
          <w:highlight w:val="none"/>
        </w:rPr>
      </w:pPr>
      <w:r>
        <w:rPr>
          <w:rFonts w:eastAsia="宋体"/>
          <w:b/>
          <w:spacing w:val="7"/>
          <w:highlight w:val="none"/>
        </w:rPr>
        <w:t xml:space="preserve">3 投标货币</w:t>
      </w:r>
      <w:r/>
    </w:p>
    <w:p>
      <w:pPr>
        <w:pStyle w:val="962"/>
        <w:ind w:firstLine="500"/>
        <w:spacing w:line="440" w:lineRule="exact"/>
        <w:rPr>
          <w:rFonts w:eastAsia="宋体"/>
          <w:i/>
          <w:spacing w:val="7"/>
          <w:highlight w:val="none"/>
          <w:u w:val="single"/>
        </w:rPr>
      </w:pPr>
      <w:r>
        <w:rPr>
          <w:rFonts w:eastAsia="宋体"/>
          <w:i/>
          <w:spacing w:val="7"/>
          <w:highlight w:val="none"/>
          <w:u w:val="single"/>
        </w:rPr>
        <w:t xml:space="preserve">3.1 投标货币：</w:t>
      </w:r>
      <w:r/>
    </w:p>
    <w:p>
      <w:pPr>
        <w:pStyle w:val="962"/>
        <w:ind w:firstLine="500"/>
        <w:spacing w:line="440" w:lineRule="exact"/>
        <w:rPr>
          <w:rFonts w:eastAsia="宋体"/>
          <w:i/>
          <w:iCs/>
          <w:highlight w:val="none"/>
          <w:u w:val="single"/>
        </w:rPr>
      </w:pPr>
      <w:r>
        <w:rPr>
          <w:rFonts w:eastAsia="宋体"/>
          <w:i/>
          <w:spacing w:val="7"/>
          <w:highlight w:val="none"/>
          <w:u w:val="single"/>
        </w:rPr>
        <w:t xml:space="preserve">人民币</w:t>
      </w:r>
      <w:r>
        <w:rPr>
          <w:rFonts w:eastAsia="宋体"/>
          <w:i/>
          <w:iCs/>
          <w:highlight w:val="none"/>
          <w:u w:val="single"/>
        </w:rPr>
        <w:t xml:space="preserve">。</w:t>
      </w:r>
      <w:r/>
    </w:p>
    <w:p>
      <w:pPr>
        <w:numPr>
          <w:ilvl w:val="0"/>
          <w:numId w:val="3"/>
        </w:numPr>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其他部分</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1、投标方案</w:t>
      </w:r>
      <w:r/>
    </w:p>
    <w:p>
      <w:pPr>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）投标单位根据项目需求</w:t>
      </w:r>
      <w:r>
        <w:rPr>
          <w:rFonts w:hint="eastAsia" w:ascii="宋体" w:hAnsi="宋体" w:cs="宋体"/>
          <w:sz w:val="24"/>
          <w:szCs w:val="24"/>
          <w:highlight w:val="none"/>
          <w:lang w:val="en-US" w:eastAsia="zh-CN"/>
        </w:rPr>
        <w:t xml:space="preserve">防治方案</w:t>
      </w:r>
      <w:r>
        <w:rPr>
          <w:rFonts w:hint="eastAsia" w:ascii="宋体" w:hAnsi="宋体" w:cs="宋体"/>
          <w:sz w:val="24"/>
          <w:szCs w:val="24"/>
          <w:highlight w:val="none"/>
        </w:rPr>
        <w:t xml:space="preserve">制定，</w:t>
      </w:r>
      <w:r>
        <w:rPr>
          <w:rFonts w:hint="eastAsia" w:ascii="宋体" w:hAnsi="宋体" w:cs="宋体"/>
          <w:bCs/>
          <w:spacing w:val="7"/>
          <w:sz w:val="24"/>
          <w:szCs w:val="24"/>
          <w:highlight w:val="none"/>
        </w:rPr>
        <w:t xml:space="preserve">包含但不限于普查防治整体思路，检查方法，治理措施，工作流程细化，普查防治资料记录、整理和保存。</w:t>
      </w:r>
      <w:r/>
    </w:p>
    <w:p>
      <w:pPr>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）投标单位根据项目需求制定</w:t>
      </w:r>
      <w:r>
        <w:rPr>
          <w:rFonts w:hint="eastAsia" w:ascii="宋体" w:hAnsi="宋体" w:cs="宋体"/>
          <w:spacing w:val="17"/>
          <w:sz w:val="24"/>
          <w:szCs w:val="24"/>
          <w:highlight w:val="none"/>
        </w:rPr>
        <w:t xml:space="preserve">文明施工和安全保护措施</w:t>
      </w:r>
      <w:r>
        <w:rPr>
          <w:rFonts w:hint="eastAsia" w:ascii="宋体" w:hAnsi="宋体" w:cs="宋体"/>
          <w:sz w:val="24"/>
          <w:szCs w:val="24"/>
          <w:highlight w:val="none"/>
        </w:rPr>
        <w:t xml:space="preserve">，内容符合招标文件第四章项目需求/二、技术要求/7、安全文明施工要求。</w:t>
      </w:r>
      <w:r/>
    </w:p>
    <w:p>
      <w:pPr>
        <w:ind w:firstLine="482"/>
        <w:spacing w:line="360" w:lineRule="auto"/>
        <w:rPr>
          <w:rFonts w:hint="eastAsia" w:ascii="宋体" w:hAnsi="宋体" w:cs="宋体"/>
          <w:bCs/>
          <w:spacing w:val="7"/>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）投标单位提供</w:t>
      </w:r>
      <w:r>
        <w:rPr>
          <w:rFonts w:hint="eastAsia" w:ascii="宋体" w:hAnsi="宋体" w:cs="宋体"/>
          <w:bCs/>
          <w:spacing w:val="7"/>
          <w:sz w:val="24"/>
          <w:szCs w:val="24"/>
          <w:highlight w:val="none"/>
        </w:rPr>
        <w:t xml:space="preserve">企业内部管理规章制度，包含但不限于企业组织架构、企业规章制度、培训方案、人员管理方案。</w:t>
      </w:r>
      <w:r/>
    </w:p>
    <w:p>
      <w:pPr>
        <w:ind w:firstLine="482"/>
        <w:spacing w:line="360" w:lineRule="auto"/>
        <w:rPr>
          <w:rFonts w:hint="default" w:ascii="宋体" w:hAnsi="宋体" w:cs="宋体"/>
          <w:bCs/>
          <w:spacing w:val="7"/>
          <w:sz w:val="24"/>
          <w:szCs w:val="24"/>
          <w:highlight w:val="none"/>
          <w:lang w:val="en-US" w:eastAsia="zh-CN"/>
        </w:rPr>
      </w:pPr>
      <w:r>
        <w:rPr>
          <w:rFonts w:hint="eastAsia" w:ascii="宋体" w:hAnsi="宋体" w:cs="宋体"/>
          <w:bCs/>
          <w:spacing w:val="7"/>
          <w:sz w:val="24"/>
          <w:szCs w:val="24"/>
          <w:highlight w:val="none"/>
          <w:lang w:eastAsia="zh-CN"/>
        </w:rPr>
        <w:t xml:space="preserve">（</w:t>
      </w:r>
      <w:r>
        <w:rPr>
          <w:rFonts w:hint="eastAsia" w:ascii="宋体" w:hAnsi="宋体" w:cs="宋体"/>
          <w:bCs/>
          <w:spacing w:val="7"/>
          <w:sz w:val="24"/>
          <w:szCs w:val="24"/>
          <w:highlight w:val="none"/>
          <w:lang w:val="en-US" w:eastAsia="zh-CN"/>
        </w:rPr>
        <w:t xml:space="preserve">4）投标单位根据项目需求涉及区域的白蚁等害堤动物危害情况的了解、分析、及对项目涉及区域的地理环境熟悉程度。</w:t>
      </w:r>
      <w:r/>
    </w:p>
    <w:p>
      <w:pPr>
        <w:ind w:firstLine="482"/>
        <w:jc w:val="left"/>
        <w:spacing w:line="360" w:lineRule="auto"/>
        <w:widowControl/>
        <w:rPr>
          <w:rFonts w:hint="eastAsia" w:ascii="宋体" w:hAnsi="宋体" w:cs="宋体"/>
          <w:spacing w:val="5"/>
          <w:sz w:val="24"/>
          <w:szCs w:val="24"/>
          <w:highlight w:val="none"/>
        </w:rPr>
      </w:pPr>
      <w:r>
        <w:rPr>
          <w:rFonts w:hint="eastAsia" w:ascii="宋体" w:hAnsi="宋体" w:cs="宋体"/>
          <w:b/>
          <w:bCs/>
          <w:sz w:val="24"/>
          <w:szCs w:val="24"/>
          <w:highlight w:val="none"/>
        </w:rPr>
        <w:t xml:space="preserve">2、履约能力</w:t>
      </w:r>
      <w:r/>
    </w:p>
    <w:p>
      <w:pPr>
        <w:ind w:firstLine="482"/>
        <w:jc w:val="left"/>
        <w:spacing w:line="360" w:lineRule="auto"/>
        <w:widowControl/>
        <w:rPr>
          <w:rFonts w:hint="eastAsia" w:ascii="宋体" w:hAnsi="宋体" w:cs="宋体"/>
          <w:spacing w:val="5"/>
          <w:sz w:val="24"/>
          <w:szCs w:val="24"/>
          <w:highlight w:val="none"/>
        </w:rPr>
      </w:pPr>
      <w:r>
        <w:rPr>
          <w:rFonts w:hint="eastAsia" w:ascii="宋体" w:hAnsi="宋体" w:cs="宋体"/>
          <w:spacing w:val="5"/>
          <w:sz w:val="24"/>
          <w:szCs w:val="24"/>
          <w:highlight w:val="none"/>
        </w:rPr>
        <w:t xml:space="preserve">（1）投标人能提供2022年以来的类似业绩介绍。</w:t>
      </w:r>
      <w:r/>
    </w:p>
    <w:p>
      <w:pPr>
        <w:ind w:firstLine="482"/>
        <w:jc w:val="left"/>
        <w:spacing w:line="360" w:lineRule="auto"/>
        <w:widowControl/>
        <w:rPr>
          <w:rFonts w:hint="eastAsia" w:ascii="宋体" w:hAnsi="宋体" w:cs="宋体"/>
          <w:sz w:val="24"/>
          <w:szCs w:val="24"/>
          <w:highlight w:val="none"/>
          <w:lang w:bidi="ar"/>
        </w:rPr>
      </w:pPr>
      <w:r>
        <w:rPr>
          <w:rFonts w:hint="eastAsia" w:ascii="宋体" w:hAnsi="宋体" w:cs="宋体"/>
          <w:spacing w:val="5"/>
          <w:sz w:val="24"/>
          <w:szCs w:val="24"/>
          <w:highlight w:val="none"/>
        </w:rPr>
        <w:t xml:space="preserve">（2）</w:t>
      </w:r>
      <w:r>
        <w:rPr>
          <w:rFonts w:hint="eastAsia" w:ascii="宋体" w:hAnsi="宋体" w:cs="宋体"/>
          <w:sz w:val="24"/>
          <w:szCs w:val="24"/>
          <w:highlight w:val="none"/>
          <w:lang w:bidi="ar"/>
        </w:rPr>
        <w:t xml:space="preserve">项目负责人</w:t>
      </w:r>
      <w:r>
        <w:rPr>
          <w:rStyle w:val="1022"/>
          <w:rFonts w:hint="eastAsia" w:ascii="宋体" w:hAnsi="宋体" w:cs="宋体"/>
          <w:color w:val="000000" w:themeColor="text1"/>
          <w:sz w:val="24"/>
          <w:szCs w:val="24"/>
          <w:highlight w:val="none"/>
          <w14:textFill>
            <w14:solidFill>
              <w14:schemeClr w14:val="tx1"/>
            </w14:solidFill>
          </w14:textFill>
        </w:rPr>
        <w:t xml:space="preserve">具有省级（含）以上白蚁防治中心培训的从业人员证或相关机构颁发的白蚁防治能力证书</w:t>
      </w:r>
      <w:r>
        <w:rPr>
          <w:rFonts w:hint="eastAsia" w:ascii="宋体" w:hAnsi="宋体" w:cs="宋体"/>
          <w:sz w:val="24"/>
          <w:szCs w:val="24"/>
          <w:highlight w:val="none"/>
          <w:lang w:bidi="ar"/>
        </w:rPr>
        <w:t xml:space="preserve">，自2022年1月1日以来担任过类似项目负责人。</w:t>
      </w:r>
      <w:r/>
    </w:p>
    <w:p>
      <w:pPr>
        <w:ind w:firstLine="48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（3）项目组成员</w:t>
      </w:r>
      <w:r>
        <w:rPr>
          <w:rStyle w:val="1022"/>
          <w:rFonts w:hint="eastAsia" w:ascii="宋体" w:hAnsi="宋体" w:cs="宋体"/>
          <w:color w:val="000000" w:themeColor="text1"/>
          <w:sz w:val="24"/>
          <w:szCs w:val="24"/>
          <w:highlight w:val="none"/>
          <w14:textFill>
            <w14:solidFill>
              <w14:schemeClr w14:val="tx1"/>
            </w14:solidFill>
          </w14:textFill>
        </w:rPr>
        <w:t xml:space="preserve">具有省级（含）以上白蚁防治中心培训的从业人员证或相关机构颁发的白蚁防治能力证书</w:t>
      </w:r>
      <w:r>
        <w:rPr>
          <w:rFonts w:hint="eastAsia" w:ascii="宋体" w:hAnsi="宋体" w:cs="宋体"/>
          <w:sz w:val="24"/>
          <w:szCs w:val="24"/>
          <w:highlight w:val="none"/>
          <w:lang w:bidi="ar"/>
        </w:rPr>
        <w:t xml:space="preserve">，具有有害生物防制员证书。</w:t>
      </w:r>
      <w:r/>
    </w:p>
    <w:p>
      <w:pPr>
        <w:ind w:firstLine="482"/>
        <w:jc w:val="left"/>
        <w:spacing w:line="360" w:lineRule="auto"/>
        <w:widowControl/>
        <w:rPr>
          <w:rStyle w:val="1022"/>
          <w:rFonts w:hint="eastAsia" w:ascii="宋体" w:hAnsi="宋体" w:cs="宋体"/>
          <w:color w:val="000000" w:themeColor="text1"/>
          <w:sz w:val="24"/>
          <w:szCs w:val="24"/>
          <w:highlight w:val="none"/>
          <w14:textFill>
            <w14:solidFill>
              <w14:schemeClr w14:val="tx1"/>
            </w14:solidFill>
          </w14:textFill>
        </w:rPr>
      </w:pPr>
      <w:r>
        <w:rPr>
          <w:rStyle w:val="1022"/>
          <w:rFonts w:hint="eastAsia" w:ascii="宋体" w:hAnsi="宋体" w:cs="宋体"/>
          <w:color w:val="000000" w:themeColor="text1"/>
          <w:sz w:val="24"/>
          <w:szCs w:val="24"/>
          <w:highlight w:val="none"/>
          <w14:textFill>
            <w14:solidFill>
              <w14:schemeClr w14:val="tx1"/>
            </w14:solidFill>
          </w14:textFill>
        </w:rPr>
        <w:t xml:space="preserve">（4）投标人具有有害生物防治证书或白蚁防治资质证书。</w:t>
      </w:r>
      <w:r/>
    </w:p>
    <w:p>
      <w:pPr>
        <w:ind w:firstLine="482"/>
        <w:jc w:val="left"/>
        <w:spacing w:line="440" w:lineRule="exact"/>
        <w:widowControl/>
        <w:rPr>
          <w:rFonts w:ascii="Times New Roman" w:hAnsi="Times New Roman"/>
          <w:b/>
          <w:bCs/>
          <w:sz w:val="24"/>
          <w:szCs w:val="24"/>
          <w:highlight w:val="none"/>
        </w:rPr>
      </w:pPr>
      <w:r>
        <w:rPr>
          <w:rFonts w:hint="eastAsia" w:ascii="Times New Roman" w:hAnsi="Times New Roman"/>
          <w:b/>
          <w:bCs/>
          <w:sz w:val="24"/>
          <w:szCs w:val="24"/>
          <w:highlight w:val="none"/>
        </w:rPr>
        <w:t xml:space="preserve">3</w:t>
      </w:r>
      <w:r>
        <w:rPr>
          <w:rFonts w:ascii="Times New Roman" w:hAnsi="Times New Roman"/>
          <w:b/>
          <w:bCs/>
          <w:sz w:val="24"/>
          <w:szCs w:val="24"/>
          <w:highlight w:val="none"/>
        </w:rPr>
        <w:t xml:space="preserve">、考核</w:t>
      </w:r>
      <w:r>
        <w:rPr>
          <w:rFonts w:hint="eastAsia" w:ascii="Times New Roman" w:hAnsi="Times New Roman"/>
          <w:b/>
          <w:bCs/>
          <w:sz w:val="24"/>
          <w:szCs w:val="24"/>
          <w:highlight w:val="none"/>
        </w:rPr>
        <w:t xml:space="preserve">细则</w:t>
      </w:r>
      <w:r/>
    </w:p>
    <w:p>
      <w:pPr>
        <w:pStyle w:val="1026"/>
        <w:jc w:val="center"/>
        <w:rPr>
          <w:rStyle w:val="1022"/>
          <w:rFonts w:hint="eastAsia" w:ascii="宋体" w:hAnsi="宋体" w:eastAsia="宋体" w:cs="宋体"/>
          <w:b/>
          <w:bCs/>
          <w:color w:val="000000"/>
          <w:sz w:val="30"/>
          <w:szCs w:val="30"/>
          <w:highlight w:val="none"/>
        </w:rPr>
      </w:pPr>
      <w:r>
        <w:rPr>
          <w:rStyle w:val="1022"/>
          <w:rFonts w:hint="eastAsia" w:ascii="宋体" w:hAnsi="宋体" w:eastAsia="宋体" w:cs="宋体"/>
          <w:b/>
          <w:bCs/>
          <w:color w:val="000000"/>
          <w:sz w:val="30"/>
          <w:szCs w:val="30"/>
          <w:highlight w:val="none"/>
        </w:rPr>
        <w:t xml:space="preserve">考核细则</w:t>
      </w:r>
      <w:r/>
    </w:p>
    <w:tbl>
      <w:tblPr>
        <w:tblStyle w:val="7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4"/>
        <w:gridCol w:w="4544"/>
        <w:gridCol w:w="3827"/>
        <w:gridCol w:w="531"/>
      </w:tblGrid>
      <w:tr>
        <w:trPr/>
        <w:tc>
          <w:tcPr>
            <w:tcW w:w="384" w:type="dxa"/>
            <w:vAlign w:val="center"/>
            <w:textDirection w:val="lrTb"/>
            <w:noWrap w:val="false"/>
          </w:tcPr>
          <w:p>
            <w:pPr>
              <w:pStyle w:val="966"/>
              <w:jc w:val="center"/>
              <w:rPr>
                <w:rStyle w:val="1022"/>
                <w:rFonts w:hint="eastAsia" w:ascii="宋体" w:hAnsi="宋体" w:eastAsia="宋体" w:cs="宋体"/>
                <w:color w:val="000000"/>
                <w:highlight w:val="none"/>
              </w:rPr>
            </w:pPr>
            <w:r>
              <w:rPr>
                <w:b/>
                <w:bCs/>
                <w:color w:val="000000"/>
                <w:highlight w:val="none"/>
              </w:rPr>
              <w:t xml:space="preserve">序号</w:t>
            </w:r>
            <w:r/>
          </w:p>
        </w:tc>
        <w:tc>
          <w:tcPr>
            <w:tcW w:w="4544" w:type="dxa"/>
            <w:vAlign w:val="center"/>
            <w:textDirection w:val="lrTb"/>
            <w:noWrap w:val="false"/>
          </w:tcPr>
          <w:p>
            <w:pPr>
              <w:pStyle w:val="966"/>
              <w:jc w:val="center"/>
              <w:rPr>
                <w:rStyle w:val="1022"/>
                <w:rFonts w:hint="eastAsia" w:ascii="宋体" w:hAnsi="宋体" w:eastAsia="宋体" w:cs="宋体"/>
                <w:color w:val="000000"/>
                <w:highlight w:val="none"/>
              </w:rPr>
            </w:pPr>
            <w:r>
              <w:rPr>
                <w:b/>
                <w:bCs/>
                <w:color w:val="000000"/>
                <w:highlight w:val="none"/>
              </w:rPr>
              <w:t xml:space="preserve">标准内容和要求</w:t>
            </w:r>
            <w:r/>
          </w:p>
        </w:tc>
        <w:tc>
          <w:tcPr>
            <w:tcW w:w="3827" w:type="dxa"/>
            <w:vAlign w:val="center"/>
            <w:textDirection w:val="lrTb"/>
            <w:noWrap w:val="false"/>
          </w:tcPr>
          <w:p>
            <w:pPr>
              <w:pStyle w:val="966"/>
              <w:jc w:val="center"/>
              <w:rPr>
                <w:rStyle w:val="1022"/>
                <w:rFonts w:hint="eastAsia" w:ascii="宋体" w:hAnsi="宋体" w:eastAsia="宋体" w:cs="宋体"/>
                <w:color w:val="000000"/>
                <w:highlight w:val="none"/>
              </w:rPr>
            </w:pPr>
            <w:r>
              <w:rPr>
                <w:b/>
                <w:bCs/>
                <w:color w:val="000000"/>
                <w:highlight w:val="none"/>
              </w:rPr>
              <w:t xml:space="preserve">评分标准</w:t>
            </w:r>
            <w:r/>
          </w:p>
        </w:tc>
        <w:tc>
          <w:tcPr>
            <w:tcW w:w="531" w:type="dxa"/>
            <w:vAlign w:val="center"/>
            <w:textDirection w:val="lrTb"/>
            <w:noWrap w:val="false"/>
          </w:tcPr>
          <w:p>
            <w:pPr>
              <w:pStyle w:val="966"/>
              <w:jc w:val="center"/>
              <w:rPr>
                <w:rStyle w:val="1022"/>
                <w:rFonts w:hint="eastAsia" w:ascii="宋体" w:hAnsi="宋体" w:eastAsia="宋体" w:cs="宋体"/>
                <w:color w:val="000000"/>
                <w:highlight w:val="none"/>
              </w:rPr>
            </w:pPr>
            <w:r>
              <w:rPr>
                <w:rFonts w:hint="eastAsia" w:eastAsia="宋体"/>
                <w:b/>
                <w:bCs/>
                <w:color w:val="000000"/>
                <w:highlight w:val="none"/>
              </w:rPr>
              <w:t xml:space="preserve">扣分</w:t>
            </w:r>
            <w:r/>
          </w:p>
        </w:tc>
      </w:tr>
      <w:tr>
        <w:trPr/>
        <w:tc>
          <w:tcPr>
            <w:tcW w:w="384"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color w:val="000000"/>
                <w:highlight w:val="none"/>
              </w:rPr>
              <w:t xml:space="preserve">1</w:t>
            </w:r>
            <w:r/>
          </w:p>
        </w:tc>
        <w:tc>
          <w:tcPr>
            <w:tcW w:w="4544" w:type="dxa"/>
            <w:vAlign w:val="center"/>
            <w:textDirection w:val="lrTb"/>
            <w:noWrap w:val="false"/>
          </w:tcPr>
          <w:p>
            <w:pPr>
              <w:jc w:val="left"/>
              <w:spacing w:line="440" w:lineRule="exact"/>
              <w:rPr>
                <w:rStyle w:val="1022"/>
                <w:rFonts w:hint="eastAsia" w:ascii="宋体" w:hAnsi="宋体" w:cs="宋体"/>
                <w:color w:val="000000"/>
                <w:highlight w:val="none"/>
              </w:rPr>
            </w:pPr>
            <w:r>
              <w:rPr>
                <w:rFonts w:hint="eastAsia" w:ascii="Times New Roman" w:hAnsi="Times New Roman"/>
                <w:color w:val="000000"/>
                <w:sz w:val="24"/>
                <w:szCs w:val="24"/>
                <w:highlight w:val="none"/>
              </w:rPr>
              <w:t xml:space="preserve">合同期内</w:t>
            </w:r>
            <w:r>
              <w:rPr>
                <w:rFonts w:ascii="Times New Roman" w:hAnsi="Times New Roman"/>
                <w:color w:val="000000"/>
                <w:sz w:val="24"/>
                <w:szCs w:val="24"/>
                <w:highlight w:val="none"/>
              </w:rPr>
              <w:t xml:space="preserve">完成</w:t>
            </w:r>
            <w:r>
              <w:rPr>
                <w:rFonts w:hint="eastAsia" w:ascii="Times New Roman" w:hAnsi="Times New Roman"/>
                <w:color w:val="000000"/>
                <w:sz w:val="24"/>
                <w:szCs w:val="24"/>
                <w:highlight w:val="none"/>
              </w:rPr>
              <w:t xml:space="preserve">治理</w:t>
            </w:r>
            <w:r>
              <w:rPr>
                <w:rFonts w:ascii="Times New Roman" w:hAnsi="Times New Roman"/>
                <w:color w:val="000000"/>
                <w:sz w:val="24"/>
                <w:szCs w:val="24"/>
                <w:highlight w:val="none"/>
              </w:rPr>
              <w:t xml:space="preserve">及</w:t>
            </w:r>
            <w:r>
              <w:rPr>
                <w:rFonts w:hint="eastAsia" w:ascii="Times New Roman" w:hAnsi="Times New Roman"/>
                <w:color w:val="000000"/>
                <w:sz w:val="24"/>
                <w:szCs w:val="24"/>
                <w:highlight w:val="none"/>
              </w:rPr>
              <w:t xml:space="preserve">普查并出具合格</w:t>
            </w:r>
            <w:r>
              <w:rPr>
                <w:rFonts w:ascii="Times New Roman" w:hAnsi="Times New Roman"/>
                <w:color w:val="000000"/>
                <w:sz w:val="24"/>
                <w:szCs w:val="24"/>
                <w:highlight w:val="none"/>
              </w:rPr>
              <w:t xml:space="preserve">报告</w:t>
            </w:r>
            <w:r>
              <w:rPr>
                <w:rFonts w:hint="eastAsia" w:ascii="Times New Roman" w:hAnsi="Times New Roman"/>
                <w:color w:val="000000"/>
                <w:sz w:val="24"/>
                <w:szCs w:val="24"/>
                <w:highlight w:val="none"/>
              </w:rPr>
              <w:t xml:space="preserve">，</w:t>
            </w:r>
            <w:r>
              <w:rPr>
                <w:rFonts w:hint="eastAsia" w:ascii="宋体" w:hAnsi="宋体" w:cs="宋体"/>
                <w:color w:val="000000"/>
                <w:sz w:val="24"/>
                <w:szCs w:val="24"/>
                <w:highlight w:val="none"/>
              </w:rPr>
              <w:t xml:space="preserve">完成对长江重点堤防安全健康评估</w:t>
            </w:r>
            <w:r>
              <w:rPr>
                <w:rFonts w:hint="eastAsia" w:ascii="Times New Roman" w:hAnsi="Times New Roman"/>
                <w:color w:val="000000"/>
                <w:sz w:val="24"/>
                <w:szCs w:val="24"/>
                <w:highlight w:val="none"/>
              </w:rPr>
              <w:t xml:space="preserve">并出具报告</w:t>
            </w:r>
            <w:r>
              <w:rPr>
                <w:rFonts w:hint="eastAsia" w:ascii="宋体" w:hAnsi="宋体" w:cs="宋体"/>
                <w:color w:val="000000"/>
                <w:sz w:val="24"/>
                <w:szCs w:val="24"/>
                <w:highlight w:val="none"/>
              </w:rPr>
              <w:t xml:space="preserve">。</w:t>
            </w:r>
            <w:r/>
          </w:p>
        </w:tc>
        <w:tc>
          <w:tcPr>
            <w:tcW w:w="3827" w:type="dxa"/>
            <w:vAlign w:val="center"/>
            <w:textDirection w:val="lrTb"/>
            <w:noWrap w:val="false"/>
          </w:tcPr>
          <w:p>
            <w:pPr>
              <w:jc w:val="left"/>
              <w:spacing w:line="440" w:lineRule="exact"/>
              <w:rPr>
                <w:rStyle w:val="1022"/>
                <w:rFonts w:hint="eastAsia" w:ascii="宋体" w:hAnsi="宋体" w:cs="宋体"/>
                <w:color w:val="000000"/>
                <w:highlight w:val="none"/>
              </w:rPr>
            </w:pPr>
            <w:r>
              <w:rPr>
                <w:rFonts w:hint="eastAsia" w:ascii="Times New Roman" w:hAnsi="Times New Roman"/>
                <w:color w:val="000000"/>
                <w:sz w:val="24"/>
                <w:szCs w:val="24"/>
                <w:highlight w:val="none"/>
              </w:rPr>
              <w:t xml:space="preserve">2026年5月底完成</w:t>
            </w:r>
            <w:r>
              <w:rPr>
                <w:rFonts w:ascii="Times New Roman" w:hAnsi="Times New Roman"/>
                <w:color w:val="000000"/>
                <w:sz w:val="24"/>
                <w:szCs w:val="24"/>
                <w:highlight w:val="none"/>
              </w:rPr>
              <w:t xml:space="preserve">《2024年度白蚁等害堤动物普查及治理项目》中已普查到的受害堤防</w:t>
            </w:r>
            <w:r>
              <w:rPr>
                <w:rFonts w:hint="eastAsia" w:ascii="Times New Roman" w:hAnsi="Times New Roman"/>
                <w:color w:val="000000"/>
                <w:sz w:val="24"/>
                <w:szCs w:val="24"/>
                <w:highlight w:val="none"/>
              </w:rPr>
              <w:t xml:space="preserve">的治理并出具报告，未完成</w:t>
            </w:r>
            <w:r>
              <w:rPr>
                <w:rFonts w:ascii="Times New Roman" w:hAnsi="Times New Roman"/>
                <w:color w:val="000000"/>
                <w:sz w:val="24"/>
                <w:szCs w:val="24"/>
                <w:highlight w:val="none"/>
              </w:rPr>
              <w:t xml:space="preserve">延迟一天扣</w:t>
            </w:r>
            <w:r>
              <w:rPr>
                <w:rFonts w:hint="eastAsia" w:ascii="Times New Roman" w:hAnsi="Times New Roman"/>
                <w:color w:val="000000"/>
                <w:sz w:val="24"/>
                <w:szCs w:val="24"/>
                <w:highlight w:val="none"/>
              </w:rPr>
              <w:t xml:space="preserve">20分；2026年11月底完成2025年普查并出具报告，</w:t>
            </w:r>
            <w:r>
              <w:rPr>
                <w:rFonts w:hint="eastAsia" w:ascii="宋体" w:hAnsi="宋体" w:cs="宋体"/>
                <w:color w:val="000000"/>
                <w:sz w:val="24"/>
                <w:szCs w:val="24"/>
                <w:highlight w:val="none"/>
              </w:rPr>
              <w:t xml:space="preserve">完成对长江重点堤防安全健康评估</w:t>
            </w:r>
            <w:r>
              <w:rPr>
                <w:rFonts w:hint="eastAsia" w:ascii="Times New Roman" w:hAnsi="Times New Roman"/>
                <w:color w:val="000000"/>
                <w:sz w:val="24"/>
                <w:szCs w:val="24"/>
                <w:highlight w:val="none"/>
              </w:rPr>
              <w:t xml:space="preserve">并出具报告</w:t>
            </w:r>
            <w:r>
              <w:rPr>
                <w:rFonts w:hint="eastAsia" w:ascii="宋体" w:hAnsi="宋体" w:cs="宋体"/>
                <w:color w:val="000000"/>
                <w:sz w:val="24"/>
                <w:szCs w:val="24"/>
                <w:highlight w:val="none"/>
              </w:rPr>
              <w:t xml:space="preserve">，</w:t>
            </w:r>
            <w:r>
              <w:rPr>
                <w:rFonts w:hint="eastAsia" w:ascii="Times New Roman" w:hAnsi="Times New Roman"/>
                <w:color w:val="000000"/>
                <w:sz w:val="24"/>
                <w:szCs w:val="24"/>
                <w:highlight w:val="none"/>
              </w:rPr>
              <w:t xml:space="preserve">未完成</w:t>
            </w:r>
            <w:r>
              <w:rPr>
                <w:rFonts w:ascii="Times New Roman" w:hAnsi="Times New Roman"/>
                <w:color w:val="000000"/>
                <w:sz w:val="24"/>
                <w:szCs w:val="24"/>
                <w:highlight w:val="none"/>
              </w:rPr>
              <w:t xml:space="preserve">延迟一天扣</w:t>
            </w:r>
            <w:r>
              <w:rPr>
                <w:rFonts w:hint="eastAsia" w:ascii="Times New Roman" w:hAnsi="Times New Roman"/>
                <w:color w:val="000000"/>
                <w:sz w:val="24"/>
                <w:szCs w:val="24"/>
                <w:highlight w:val="none"/>
              </w:rPr>
              <w:t xml:space="preserve">10分。</w:t>
            </w:r>
            <w:r/>
          </w:p>
        </w:tc>
        <w:tc>
          <w:tcPr>
            <w:tcW w:w="531"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384"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color w:val="000000"/>
                <w:highlight w:val="none"/>
              </w:rPr>
              <w:t xml:space="preserve">2</w:t>
            </w:r>
            <w:r/>
          </w:p>
        </w:tc>
        <w:tc>
          <w:tcPr>
            <w:tcW w:w="4544" w:type="dxa"/>
            <w:vAlign w:val="center"/>
            <w:textDirection w:val="lrTb"/>
            <w:noWrap w:val="false"/>
          </w:tcPr>
          <w:p>
            <w:pPr>
              <w:jc w:val="left"/>
              <w:spacing w:line="440" w:lineRule="exact"/>
              <w:rPr>
                <w:rStyle w:val="1022"/>
                <w:rFonts w:hint="eastAsia" w:ascii="宋体" w:hAnsi="宋体" w:cs="宋体"/>
                <w:color w:val="000000"/>
                <w:highlight w:val="none"/>
              </w:rPr>
            </w:pPr>
            <w:r>
              <w:rPr>
                <w:rFonts w:hint="eastAsia" w:ascii="Times New Roman" w:hAnsi="Times New Roman"/>
                <w:color w:val="000000"/>
                <w:sz w:val="24"/>
                <w:szCs w:val="24"/>
                <w:highlight w:val="none"/>
              </w:rPr>
              <w:t xml:space="preserve">每次</w:t>
            </w:r>
            <w:r>
              <w:rPr>
                <w:rFonts w:ascii="Times New Roman" w:hAnsi="Times New Roman"/>
                <w:color w:val="000000"/>
                <w:sz w:val="24"/>
                <w:szCs w:val="24"/>
                <w:highlight w:val="none"/>
              </w:rPr>
              <w:t xml:space="preserve">普查</w:t>
            </w:r>
            <w:r>
              <w:rPr>
                <w:rFonts w:hint="eastAsia" w:ascii="Times New Roman" w:hAnsi="Times New Roman"/>
                <w:color w:val="000000"/>
                <w:sz w:val="24"/>
                <w:szCs w:val="24"/>
                <w:highlight w:val="none"/>
              </w:rPr>
              <w:t xml:space="preserve">后按实际情况</w:t>
            </w:r>
            <w:r>
              <w:rPr>
                <w:rFonts w:ascii="Times New Roman" w:hAnsi="Times New Roman"/>
                <w:color w:val="000000"/>
                <w:sz w:val="24"/>
                <w:szCs w:val="24"/>
                <w:highlight w:val="none"/>
              </w:rPr>
              <w:t xml:space="preserve">安装引诱桩</w:t>
            </w:r>
            <w:r>
              <w:rPr>
                <w:rFonts w:hint="eastAsia" w:ascii="Times New Roman" w:hAnsi="Times New Roman"/>
                <w:color w:val="000000"/>
                <w:sz w:val="24"/>
                <w:szCs w:val="24"/>
                <w:highlight w:val="none"/>
              </w:rPr>
              <w:t xml:space="preserve">2100个</w:t>
            </w:r>
            <w:r>
              <w:rPr>
                <w:rFonts w:ascii="Times New Roman" w:hAnsi="Times New Roman"/>
                <w:color w:val="000000"/>
                <w:sz w:val="24"/>
                <w:szCs w:val="24"/>
                <w:highlight w:val="none"/>
              </w:rPr>
              <w:t xml:space="preserve">，引诱装置</w:t>
            </w:r>
            <w:r>
              <w:rPr>
                <w:rFonts w:hint="eastAsia" w:ascii="Times New Roman" w:hAnsi="Times New Roman"/>
                <w:color w:val="000000"/>
                <w:sz w:val="24"/>
                <w:szCs w:val="24"/>
                <w:highlight w:val="none"/>
              </w:rPr>
              <w:t xml:space="preserve">800</w:t>
            </w:r>
            <w:r>
              <w:rPr>
                <w:rFonts w:ascii="Times New Roman" w:hAnsi="Times New Roman"/>
                <w:color w:val="000000"/>
                <w:sz w:val="24"/>
                <w:szCs w:val="24"/>
                <w:highlight w:val="none"/>
              </w:rPr>
              <w:t xml:space="preserve">个</w:t>
            </w:r>
            <w:r>
              <w:rPr>
                <w:rFonts w:hint="eastAsia" w:ascii="Times New Roman" w:hAnsi="Times New Roman"/>
                <w:color w:val="000000"/>
                <w:sz w:val="24"/>
                <w:szCs w:val="24"/>
                <w:highlight w:val="none"/>
              </w:rPr>
              <w:t xml:space="preserve">。</w:t>
            </w:r>
            <w:r/>
          </w:p>
        </w:tc>
        <w:tc>
          <w:tcPr>
            <w:tcW w:w="3827" w:type="dxa"/>
            <w:vAlign w:val="center"/>
            <w:textDirection w:val="lrTb"/>
            <w:noWrap w:val="false"/>
          </w:tcPr>
          <w:p>
            <w:pPr>
              <w:jc w:val="left"/>
              <w:spacing w:line="440" w:lineRule="exact"/>
              <w:rPr>
                <w:rStyle w:val="1022"/>
                <w:rFonts w:hint="eastAsia" w:ascii="宋体" w:hAnsi="宋体" w:cs="宋体"/>
                <w:color w:val="000000"/>
                <w:highlight w:val="none"/>
              </w:rPr>
            </w:pPr>
            <w:r>
              <w:rPr>
                <w:rFonts w:ascii="Times New Roman" w:hAnsi="Times New Roman"/>
                <w:color w:val="000000"/>
                <w:sz w:val="24"/>
                <w:szCs w:val="24"/>
                <w:highlight w:val="none"/>
              </w:rPr>
              <w:t xml:space="preserve">引诱桩少完成一根扣</w:t>
            </w:r>
            <w:r>
              <w:rPr>
                <w:rFonts w:hint="eastAsia" w:ascii="Times New Roman" w:hAnsi="Times New Roman"/>
                <w:color w:val="000000"/>
                <w:sz w:val="24"/>
                <w:szCs w:val="24"/>
                <w:highlight w:val="none"/>
              </w:rPr>
              <w:t xml:space="preserve">3分</w:t>
            </w:r>
            <w:r>
              <w:rPr>
                <w:rFonts w:ascii="Times New Roman" w:hAnsi="Times New Roman"/>
                <w:color w:val="000000"/>
                <w:sz w:val="24"/>
                <w:szCs w:val="24"/>
                <w:highlight w:val="none"/>
              </w:rPr>
              <w:t xml:space="preserve">，引诱装置少完成一个扣</w:t>
            </w:r>
            <w:r>
              <w:rPr>
                <w:rFonts w:hint="eastAsia" w:ascii="Times New Roman" w:hAnsi="Times New Roman"/>
                <w:color w:val="000000"/>
                <w:sz w:val="24"/>
                <w:szCs w:val="24"/>
                <w:highlight w:val="none"/>
              </w:rPr>
              <w:t xml:space="preserve">7分</w:t>
            </w:r>
            <w:r>
              <w:rPr>
                <w:rFonts w:ascii="Times New Roman" w:hAnsi="Times New Roman"/>
                <w:color w:val="000000"/>
                <w:sz w:val="24"/>
                <w:szCs w:val="24"/>
                <w:highlight w:val="none"/>
              </w:rPr>
              <w:t xml:space="preserve">。</w:t>
            </w:r>
            <w:r/>
          </w:p>
        </w:tc>
        <w:tc>
          <w:tcPr>
            <w:tcW w:w="531"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384"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color w:val="000000"/>
                <w:highlight w:val="none"/>
              </w:rPr>
              <w:t xml:space="preserve">3</w:t>
            </w:r>
            <w:r/>
          </w:p>
        </w:tc>
        <w:tc>
          <w:tcPr>
            <w:tcW w:w="4544" w:type="dxa"/>
            <w:vAlign w:val="center"/>
            <w:textDirection w:val="lrTb"/>
            <w:noWrap w:val="false"/>
          </w:tcPr>
          <w:p>
            <w:pPr>
              <w:jc w:val="left"/>
              <w:spacing w:line="440" w:lineRule="exact"/>
              <w:rPr>
                <w:rStyle w:val="1022"/>
                <w:rFonts w:hint="eastAsia" w:ascii="宋体" w:hAnsi="宋体" w:cs="宋体"/>
                <w:color w:val="000000"/>
                <w:highlight w:val="none"/>
              </w:rPr>
            </w:pPr>
            <w:r>
              <w:rPr>
                <w:rFonts w:ascii="Times New Roman" w:hAnsi="Times New Roman"/>
                <w:color w:val="000000"/>
                <w:sz w:val="24"/>
                <w:szCs w:val="24"/>
                <w:highlight w:val="none"/>
              </w:rPr>
              <w:t xml:space="preserve">对《2024年度白蚁等害堤动物普查及治理项目》中已普查到的受害堤防</w:t>
            </w:r>
            <w:r>
              <w:rPr>
                <w:rFonts w:hint="eastAsia" w:ascii="Times New Roman" w:hAnsi="Times New Roman"/>
                <w:color w:val="000000"/>
                <w:sz w:val="24"/>
                <w:szCs w:val="24"/>
                <w:highlight w:val="none"/>
              </w:rPr>
              <w:t xml:space="preserve">及本标段的普查到的受害堤防进行治理，并埋设信息化智能预警监测装置。</w:t>
            </w:r>
            <w:r/>
          </w:p>
        </w:tc>
        <w:tc>
          <w:tcPr>
            <w:tcW w:w="3827" w:type="dxa"/>
            <w:vAlign w:val="center"/>
            <w:textDirection w:val="lrTb"/>
            <w:noWrap w:val="false"/>
          </w:tcPr>
          <w:p>
            <w:pPr>
              <w:jc w:val="left"/>
              <w:spacing w:line="440" w:lineRule="exact"/>
              <w:rPr>
                <w:rStyle w:val="1022"/>
                <w:rFonts w:hint="eastAsia" w:ascii="宋体" w:hAnsi="宋体" w:cs="宋体"/>
                <w:color w:val="000000"/>
                <w:highlight w:val="none"/>
              </w:rPr>
            </w:pPr>
            <w:r>
              <w:rPr>
                <w:rFonts w:ascii="Times New Roman" w:hAnsi="Times New Roman"/>
                <w:color w:val="000000"/>
                <w:sz w:val="24"/>
                <w:szCs w:val="24"/>
                <w:highlight w:val="none"/>
              </w:rPr>
              <w:t xml:space="preserve">对普查到的白蚁等害堤动物治理少一处扣</w:t>
            </w:r>
            <w:r>
              <w:rPr>
                <w:rFonts w:hint="eastAsia" w:ascii="Times New Roman" w:hAnsi="Times New Roman"/>
                <w:color w:val="000000"/>
                <w:sz w:val="24"/>
                <w:szCs w:val="24"/>
                <w:highlight w:val="none"/>
              </w:rPr>
              <w:t xml:space="preserve">10分，埋设信息化智能预警监测装置</w:t>
            </w:r>
            <w:r>
              <w:rPr>
                <w:rFonts w:ascii="Times New Roman" w:hAnsi="Times New Roman"/>
                <w:color w:val="000000"/>
                <w:sz w:val="24"/>
                <w:szCs w:val="24"/>
                <w:highlight w:val="none"/>
              </w:rPr>
              <w:t xml:space="preserve">少一处扣</w:t>
            </w:r>
            <w:r>
              <w:rPr>
                <w:rFonts w:hint="eastAsia" w:ascii="Times New Roman" w:hAnsi="Times New Roman"/>
                <w:color w:val="000000"/>
                <w:sz w:val="24"/>
                <w:szCs w:val="24"/>
                <w:highlight w:val="none"/>
              </w:rPr>
              <w:t xml:space="preserve">10分。</w:t>
            </w:r>
            <w:r/>
          </w:p>
        </w:tc>
        <w:tc>
          <w:tcPr>
            <w:tcW w:w="531"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384"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rFonts w:eastAsia="宋体"/>
                <w:color w:val="000000"/>
                <w:highlight w:val="none"/>
              </w:rPr>
              <w:t xml:space="preserve">4</w:t>
            </w:r>
            <w:r/>
          </w:p>
        </w:tc>
        <w:tc>
          <w:tcPr>
            <w:tcW w:w="4544" w:type="dxa"/>
            <w:vAlign w:val="center"/>
            <w:textDirection w:val="lrTb"/>
            <w:noWrap w:val="false"/>
          </w:tcPr>
          <w:p>
            <w:pPr>
              <w:jc w:val="left"/>
              <w:spacing w:line="440" w:lineRule="exact"/>
              <w:rPr>
                <w:rStyle w:val="1022"/>
                <w:rFonts w:hint="eastAsia" w:ascii="宋体" w:hAnsi="宋体" w:cs="宋体"/>
                <w:color w:val="000000"/>
                <w:highlight w:val="none"/>
              </w:rPr>
            </w:pPr>
            <w:r>
              <w:rPr>
                <w:rFonts w:ascii="Times New Roman" w:hAnsi="Times New Roman"/>
                <w:color w:val="000000"/>
                <w:sz w:val="24"/>
                <w:szCs w:val="24"/>
                <w:highlight w:val="none"/>
              </w:rPr>
              <w:t xml:space="preserve">中标人</w:t>
            </w:r>
            <w:r>
              <w:rPr>
                <w:rFonts w:hint="eastAsia" w:ascii="Times New Roman" w:hAnsi="Times New Roman"/>
                <w:color w:val="000000"/>
                <w:sz w:val="24"/>
                <w:szCs w:val="24"/>
                <w:highlight w:val="none"/>
              </w:rPr>
              <w:t xml:space="preserve">须</w:t>
            </w:r>
            <w:r>
              <w:rPr>
                <w:rFonts w:ascii="Times New Roman" w:hAnsi="Times New Roman"/>
                <w:color w:val="000000"/>
                <w:sz w:val="24"/>
                <w:szCs w:val="24"/>
                <w:highlight w:val="none"/>
              </w:rPr>
              <w:t xml:space="preserve">在</w:t>
            </w:r>
            <w:r>
              <w:rPr>
                <w:rFonts w:hint="eastAsia" w:ascii="Times New Roman" w:hAnsi="Times New Roman"/>
                <w:color w:val="000000"/>
                <w:sz w:val="24"/>
                <w:szCs w:val="24"/>
                <w:highlight w:val="none"/>
              </w:rPr>
              <w:t xml:space="preserve">24</w:t>
            </w:r>
            <w:r>
              <w:rPr>
                <w:rFonts w:ascii="Times New Roman" w:hAnsi="Times New Roman"/>
                <w:color w:val="000000"/>
                <w:sz w:val="24"/>
                <w:szCs w:val="24"/>
                <w:highlight w:val="none"/>
              </w:rPr>
              <w:t xml:space="preserve">小时内到达白蚁信息化智能监测系统的报警点进行处理。</w:t>
            </w:r>
            <w:r>
              <w:rPr>
                <w:rFonts w:hint="eastAsia" w:ascii="Times New Roman" w:hAnsi="Times New Roman"/>
                <w:color w:val="000000"/>
                <w:sz w:val="24"/>
                <w:szCs w:val="24"/>
                <w:highlight w:val="none"/>
              </w:rPr>
              <w:t xml:space="preserve">任务响应不及时、服务态度不好、工作方法方式简单粗暴或违规违法的。</w:t>
            </w:r>
            <w:r/>
          </w:p>
        </w:tc>
        <w:tc>
          <w:tcPr>
            <w:tcW w:w="3827" w:type="dxa"/>
            <w:vAlign w:val="center"/>
            <w:textDirection w:val="lrTb"/>
            <w:noWrap w:val="false"/>
          </w:tcPr>
          <w:p>
            <w:pPr>
              <w:jc w:val="left"/>
              <w:spacing w:line="440" w:lineRule="exact"/>
              <w:rPr>
                <w:rStyle w:val="1022"/>
                <w:rFonts w:hint="eastAsia" w:ascii="宋体" w:hAnsi="宋体" w:cs="宋体"/>
                <w:color w:val="000000"/>
                <w:highlight w:val="none"/>
              </w:rPr>
            </w:pPr>
            <w:r>
              <w:rPr>
                <w:rFonts w:ascii="Times New Roman" w:hAnsi="Times New Roman"/>
                <w:color w:val="000000"/>
                <w:sz w:val="24"/>
                <w:szCs w:val="24"/>
                <w:highlight w:val="none"/>
              </w:rPr>
              <w:t xml:space="preserve">未及时响应一次扣</w:t>
            </w:r>
            <w:r>
              <w:rPr>
                <w:rFonts w:hint="eastAsia" w:ascii="Times New Roman" w:hAnsi="Times New Roman"/>
                <w:color w:val="000000"/>
                <w:sz w:val="24"/>
                <w:szCs w:val="24"/>
                <w:highlight w:val="none"/>
              </w:rPr>
              <w:t xml:space="preserve">10分。</w:t>
            </w:r>
            <w:r/>
          </w:p>
        </w:tc>
        <w:tc>
          <w:tcPr>
            <w:tcW w:w="531"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384"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rFonts w:eastAsia="宋体"/>
                <w:color w:val="000000"/>
                <w:highlight w:val="none"/>
              </w:rPr>
              <w:t xml:space="preserve">5</w:t>
            </w:r>
            <w:r/>
          </w:p>
        </w:tc>
        <w:tc>
          <w:tcPr>
            <w:tcW w:w="4544" w:type="dxa"/>
            <w:vAlign w:val="center"/>
            <w:textDirection w:val="lrTb"/>
            <w:noWrap w:val="false"/>
          </w:tcPr>
          <w:p>
            <w:pPr>
              <w:jc w:val="left"/>
              <w:spacing w:line="440" w:lineRule="exact"/>
              <w:rPr>
                <w:rStyle w:val="1022"/>
                <w:rFonts w:hint="eastAsia" w:ascii="宋体" w:hAnsi="宋体" w:cs="宋体"/>
                <w:color w:val="000000"/>
                <w:highlight w:val="none"/>
              </w:rPr>
            </w:pPr>
            <w:r>
              <w:rPr>
                <w:rFonts w:ascii="Times New Roman" w:hAnsi="Times New Roman"/>
                <w:color w:val="000000"/>
                <w:sz w:val="24"/>
                <w:szCs w:val="24"/>
                <w:highlight w:val="none"/>
              </w:rPr>
              <w:t xml:space="preserve">项目负责人：</w:t>
            </w:r>
            <w:r>
              <w:rPr>
                <w:rStyle w:val="1022"/>
                <w:rFonts w:ascii="Times New Roman" w:hAnsi="Times New Roman"/>
                <w:color w:val="000000"/>
                <w:sz w:val="24"/>
                <w:szCs w:val="24"/>
                <w:highlight w:val="none"/>
              </w:rPr>
              <w:t xml:space="preserve">担任本项目负责人工作期间，必须每天到达现场打卡</w:t>
            </w:r>
            <w:r>
              <w:rPr>
                <w:rStyle w:val="1022"/>
                <w:rFonts w:hint="eastAsia" w:ascii="Times New Roman" w:hAnsi="Times New Roman"/>
                <w:color w:val="000000"/>
                <w:sz w:val="24"/>
                <w:szCs w:val="24"/>
                <w:highlight w:val="none"/>
              </w:rPr>
              <w:t xml:space="preserve">。</w:t>
            </w:r>
            <w:r/>
          </w:p>
        </w:tc>
        <w:tc>
          <w:tcPr>
            <w:tcW w:w="3827" w:type="dxa"/>
            <w:vAlign w:val="center"/>
            <w:textDirection w:val="lrTb"/>
            <w:noWrap w:val="false"/>
          </w:tcPr>
          <w:p>
            <w:pPr>
              <w:jc w:val="left"/>
              <w:spacing w:line="440" w:lineRule="exact"/>
              <w:rPr>
                <w:rStyle w:val="1022"/>
                <w:rFonts w:hint="eastAsia" w:ascii="宋体" w:hAnsi="宋体" w:cs="宋体"/>
                <w:color w:val="000000"/>
                <w:highlight w:val="none"/>
              </w:rPr>
            </w:pPr>
            <w:r>
              <w:rPr>
                <w:rFonts w:ascii="Times New Roman" w:hAnsi="Times New Roman"/>
                <w:color w:val="000000"/>
                <w:sz w:val="24"/>
                <w:szCs w:val="24"/>
                <w:highlight w:val="none"/>
              </w:rPr>
              <w:t xml:space="preserve">少打卡一天扣</w:t>
            </w:r>
            <w:r>
              <w:rPr>
                <w:rFonts w:hint="eastAsia" w:ascii="Times New Roman" w:hAnsi="Times New Roman"/>
                <w:color w:val="000000"/>
                <w:sz w:val="24"/>
                <w:szCs w:val="24"/>
                <w:highlight w:val="none"/>
              </w:rPr>
              <w:t xml:space="preserve">3分。</w:t>
            </w:r>
            <w:r/>
          </w:p>
        </w:tc>
        <w:tc>
          <w:tcPr>
            <w:tcW w:w="531"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384"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rFonts w:eastAsia="宋体"/>
                <w:color w:val="000000"/>
                <w:highlight w:val="none"/>
              </w:rPr>
              <w:t xml:space="preserve">6</w:t>
            </w:r>
            <w:r/>
          </w:p>
        </w:tc>
        <w:tc>
          <w:tcPr>
            <w:tcW w:w="4544" w:type="dxa"/>
            <w:vAlign w:val="center"/>
            <w:textDirection w:val="lrTb"/>
            <w:noWrap w:val="false"/>
          </w:tcPr>
          <w:p>
            <w:pPr>
              <w:pStyle w:val="966"/>
              <w:spacing w:line="440" w:lineRule="exact"/>
              <w:rPr>
                <w:rStyle w:val="1022"/>
                <w:rFonts w:hint="eastAsia" w:ascii="宋体" w:hAnsi="宋体" w:eastAsia="宋体" w:cs="宋体"/>
                <w:color w:val="000000"/>
                <w:highlight w:val="none"/>
              </w:rPr>
            </w:pPr>
            <w:r>
              <w:rPr>
                <w:rFonts w:hint="eastAsia" w:eastAsia="宋体"/>
                <w:color w:val="000000"/>
                <w:highlight w:val="none"/>
                <w:lang w:val="zh-CN"/>
              </w:rPr>
              <w:t xml:space="preserve">制定项目安全实施管理措施，并严格遵守安全管理要求，</w:t>
            </w:r>
            <w:r>
              <w:rPr>
                <w:color w:val="000000"/>
                <w:highlight w:val="none"/>
              </w:rPr>
              <w:t xml:space="preserve">保证自身安全</w:t>
            </w:r>
            <w:r>
              <w:rPr>
                <w:rFonts w:hint="eastAsia" w:eastAsia="宋体"/>
                <w:color w:val="000000"/>
                <w:highlight w:val="none"/>
              </w:rPr>
              <w:t xml:space="preserve">。</w:t>
            </w:r>
            <w:r/>
          </w:p>
        </w:tc>
        <w:tc>
          <w:tcPr>
            <w:tcW w:w="3827" w:type="dxa"/>
            <w:vAlign w:val="center"/>
            <w:textDirection w:val="lrTb"/>
            <w:noWrap w:val="false"/>
          </w:tcPr>
          <w:p>
            <w:pPr>
              <w:pStyle w:val="966"/>
              <w:spacing w:line="440" w:lineRule="exact"/>
              <w:rPr>
                <w:rStyle w:val="1022"/>
                <w:rFonts w:hint="eastAsia" w:ascii="宋体" w:hAnsi="宋体" w:eastAsia="宋体" w:cs="宋体"/>
                <w:color w:val="000000"/>
                <w:highlight w:val="none"/>
              </w:rPr>
            </w:pPr>
            <w:r>
              <w:rPr>
                <w:color w:val="000000"/>
                <w:highlight w:val="none"/>
              </w:rPr>
              <w:t xml:space="preserve">未做到，一次扣</w:t>
            </w:r>
            <w:r>
              <w:rPr>
                <w:rFonts w:hint="eastAsia" w:eastAsia="宋体"/>
                <w:color w:val="000000"/>
                <w:highlight w:val="none"/>
              </w:rPr>
              <w:t xml:space="preserve">7</w:t>
            </w:r>
            <w:r>
              <w:rPr>
                <w:color w:val="000000"/>
                <w:highlight w:val="none"/>
              </w:rPr>
              <w:t xml:space="preserve">分</w:t>
            </w:r>
            <w:r>
              <w:rPr>
                <w:rFonts w:hint="eastAsia" w:eastAsia="宋体"/>
                <w:color w:val="000000"/>
                <w:highlight w:val="none"/>
              </w:rPr>
              <w:t xml:space="preserve">。</w:t>
            </w:r>
            <w:r/>
          </w:p>
        </w:tc>
        <w:tc>
          <w:tcPr>
            <w:tcW w:w="531"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384"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rFonts w:hint="eastAsia" w:eastAsia="宋体"/>
                <w:color w:val="000000"/>
                <w:highlight w:val="none"/>
              </w:rPr>
              <w:t xml:space="preserve">7</w:t>
            </w:r>
            <w:r/>
          </w:p>
        </w:tc>
        <w:tc>
          <w:tcPr>
            <w:tcW w:w="4544" w:type="dxa"/>
            <w:vAlign w:val="center"/>
            <w:textDirection w:val="lrTb"/>
            <w:noWrap w:val="false"/>
          </w:tcPr>
          <w:p>
            <w:pPr>
              <w:jc w:val="left"/>
              <w:spacing w:line="440" w:lineRule="exact"/>
              <w:rPr>
                <w:rStyle w:val="1022"/>
                <w:rFonts w:hint="eastAsia" w:ascii="宋体" w:hAnsi="宋体" w:cs="宋体"/>
                <w:color w:val="000000"/>
                <w:highlight w:val="none"/>
              </w:rPr>
            </w:pPr>
            <w:r>
              <w:rPr>
                <w:rFonts w:hint="eastAsia" w:ascii="Times New Roman" w:hAnsi="Times New Roman"/>
                <w:color w:val="000000"/>
                <w:sz w:val="24"/>
                <w:szCs w:val="24"/>
                <w:highlight w:val="none"/>
              </w:rPr>
              <w:t xml:space="preserve">按照合同规定的服务内容、服务要求、服务时限，开展技术活动，并对其承担的服务业务的真实性、客观性、科学性、准确性负责。</w:t>
            </w:r>
            <w:r/>
          </w:p>
        </w:tc>
        <w:tc>
          <w:tcPr>
            <w:tcW w:w="3827" w:type="dxa"/>
            <w:vAlign w:val="center"/>
            <w:textDirection w:val="lrTb"/>
            <w:noWrap w:val="false"/>
          </w:tcPr>
          <w:p>
            <w:pPr>
              <w:jc w:val="left"/>
              <w:spacing w:line="440" w:lineRule="exact"/>
              <w:rPr>
                <w:rStyle w:val="1022"/>
                <w:rFonts w:hint="eastAsia" w:ascii="宋体" w:hAnsi="宋体" w:cs="宋体"/>
                <w:color w:val="000000"/>
                <w:highlight w:val="none"/>
              </w:rPr>
            </w:pPr>
            <w:r>
              <w:rPr>
                <w:rFonts w:hint="eastAsia" w:ascii="Times New Roman" w:hAnsi="Times New Roman"/>
                <w:color w:val="000000"/>
                <w:sz w:val="24"/>
                <w:szCs w:val="24"/>
                <w:highlight w:val="none"/>
              </w:rPr>
              <w:t xml:space="preserve">未做到的，一次扣10分。</w:t>
            </w:r>
            <w:r/>
          </w:p>
        </w:tc>
        <w:tc>
          <w:tcPr>
            <w:tcW w:w="531"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384"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rFonts w:hint="eastAsia" w:eastAsia="宋体"/>
                <w:color w:val="000000"/>
                <w:highlight w:val="none"/>
              </w:rPr>
              <w:t xml:space="preserve">8</w:t>
            </w:r>
            <w:r/>
          </w:p>
        </w:tc>
        <w:tc>
          <w:tcPr>
            <w:tcW w:w="4544" w:type="dxa"/>
            <w:vAlign w:val="center"/>
            <w:textDirection w:val="lrTb"/>
            <w:noWrap w:val="false"/>
          </w:tcPr>
          <w:p>
            <w:pPr>
              <w:jc w:val="left"/>
              <w:spacing w:line="440" w:lineRule="exact"/>
              <w:rPr>
                <w:rStyle w:val="1022"/>
                <w:rFonts w:hint="eastAsia" w:ascii="宋体" w:hAnsi="宋体" w:cs="宋体"/>
                <w:color w:val="000000"/>
                <w:highlight w:val="none"/>
              </w:rPr>
            </w:pPr>
            <w:r>
              <w:rPr>
                <w:rFonts w:ascii="Times New Roman" w:hAnsi="Times New Roman" w:eastAsia="Times New Roman"/>
                <w:color w:val="000000"/>
                <w:sz w:val="24"/>
                <w:szCs w:val="24"/>
                <w:highlight w:val="none"/>
              </w:rPr>
              <w:t xml:space="preserve">不得逾越工作权限；不得在</w:t>
            </w:r>
            <w:r>
              <w:rPr>
                <w:rFonts w:hint="eastAsia"/>
                <w:color w:val="000000"/>
                <w:sz w:val="24"/>
                <w:szCs w:val="24"/>
                <w:highlight w:val="none"/>
              </w:rPr>
              <w:t xml:space="preserve">采购人</w:t>
            </w:r>
            <w:r>
              <w:rPr>
                <w:rFonts w:ascii="Times New Roman" w:hAnsi="Times New Roman" w:eastAsia="Times New Roman"/>
                <w:color w:val="000000"/>
                <w:sz w:val="24"/>
                <w:szCs w:val="24"/>
                <w:highlight w:val="none"/>
              </w:rPr>
              <w:t xml:space="preserve">未知情的情况下独自开展活动；不得假借政府部门及其工作人员名义或采取不正当手段获取利益；不得借机推销产品或服务；不得进行商业贿赂或其他经济违法行为。</w:t>
            </w:r>
            <w:r/>
          </w:p>
        </w:tc>
        <w:tc>
          <w:tcPr>
            <w:tcW w:w="3827" w:type="dxa"/>
            <w:vAlign w:val="center"/>
            <w:textDirection w:val="lrTb"/>
            <w:noWrap w:val="false"/>
          </w:tcPr>
          <w:p>
            <w:pPr>
              <w:jc w:val="left"/>
              <w:spacing w:line="440" w:lineRule="exact"/>
              <w:rPr>
                <w:rStyle w:val="1022"/>
                <w:rFonts w:hint="eastAsia" w:ascii="宋体" w:hAnsi="宋体" w:cs="宋体"/>
                <w:color w:val="000000"/>
                <w:highlight w:val="none"/>
              </w:rPr>
            </w:pPr>
            <w:r>
              <w:rPr>
                <w:rFonts w:ascii="Times New Roman" w:hAnsi="Times New Roman" w:eastAsia="Times New Roman"/>
                <w:color w:val="000000"/>
                <w:sz w:val="24"/>
                <w:szCs w:val="24"/>
                <w:highlight w:val="none"/>
              </w:rPr>
              <w:t xml:space="preserve">查实一次，扣10分。情节严重的，终止合同，另行处理</w:t>
            </w:r>
            <w:r>
              <w:rPr>
                <w:rFonts w:hint="eastAsia"/>
                <w:color w:val="000000"/>
                <w:sz w:val="24"/>
                <w:szCs w:val="24"/>
                <w:highlight w:val="none"/>
              </w:rPr>
              <w:t xml:space="preserve">。</w:t>
            </w:r>
            <w:r/>
          </w:p>
        </w:tc>
        <w:tc>
          <w:tcPr>
            <w:tcW w:w="531" w:type="dxa"/>
            <w:vAlign w:val="center"/>
            <w:textDirection w:val="lrTb"/>
            <w:noWrap w:val="false"/>
          </w:tcPr>
          <w:p>
            <w:pPr>
              <w:pStyle w:val="966"/>
              <w:jc w:val="center"/>
              <w:spacing w:line="440" w:lineRule="exact"/>
              <w:rPr>
                <w:rStyle w:val="1022"/>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gridSpan w:val="4"/>
            <w:tcW w:w="9286" w:type="dxa"/>
            <w:textDirection w:val="lrTb"/>
            <w:noWrap w:val="false"/>
          </w:tcPr>
          <w:p>
            <w:pPr>
              <w:pStyle w:val="966"/>
              <w:spacing w:line="440" w:lineRule="exact"/>
              <w:rPr>
                <w:color w:val="000000"/>
                <w:highlight w:val="none"/>
              </w:rPr>
            </w:pPr>
            <w:r>
              <w:rPr>
                <w:color w:val="000000"/>
                <w:highlight w:val="none"/>
              </w:rPr>
              <w:t xml:space="preserve">扣</w:t>
            </w:r>
            <w:r>
              <w:rPr>
                <w:rFonts w:hint="eastAsia" w:eastAsia="宋体"/>
                <w:color w:val="000000"/>
                <w:highlight w:val="none"/>
              </w:rPr>
              <w:t xml:space="preserve">分</w:t>
            </w:r>
            <w:r>
              <w:rPr>
                <w:color w:val="000000"/>
                <w:highlight w:val="none"/>
              </w:rPr>
              <w:t xml:space="preserve">情况说明：</w:t>
            </w:r>
            <w:r/>
          </w:p>
          <w:p>
            <w:pPr>
              <w:pStyle w:val="966"/>
              <w:jc w:val="both"/>
              <w:spacing w:line="440" w:lineRule="exact"/>
              <w:rPr>
                <w:color w:val="000000"/>
                <w:highlight w:val="none"/>
              </w:rPr>
            </w:pPr>
            <w:r>
              <w:rPr>
                <w:color w:val="000000"/>
                <w:highlight w:val="none"/>
              </w:rPr>
            </w:r>
            <w:r/>
          </w:p>
          <w:p>
            <w:pPr>
              <w:pStyle w:val="966"/>
              <w:jc w:val="both"/>
              <w:spacing w:line="440" w:lineRule="exact"/>
              <w:rPr>
                <w:color w:val="000000"/>
                <w:highlight w:val="none"/>
              </w:rPr>
            </w:pPr>
            <w:r>
              <w:rPr>
                <w:color w:val="000000"/>
                <w:highlight w:val="none"/>
              </w:rPr>
            </w:r>
            <w:r/>
          </w:p>
          <w:p>
            <w:pPr>
              <w:pStyle w:val="966"/>
              <w:ind w:firstLine="5280"/>
              <w:jc w:val="both"/>
              <w:spacing w:line="440" w:lineRule="exact"/>
              <w:rPr>
                <w:color w:val="000000"/>
                <w:highlight w:val="none"/>
              </w:rPr>
            </w:pPr>
            <w:r>
              <w:rPr>
                <w:color w:val="000000"/>
                <w:highlight w:val="none"/>
              </w:rPr>
              <w:t xml:space="preserve">被考核单位：</w:t>
            </w:r>
            <w:r/>
          </w:p>
          <w:p>
            <w:pPr>
              <w:pStyle w:val="966"/>
              <w:ind w:firstLine="5280"/>
              <w:jc w:val="both"/>
              <w:spacing w:line="440" w:lineRule="exact"/>
              <w:rPr>
                <w:color w:val="000000"/>
                <w:highlight w:val="none"/>
              </w:rPr>
            </w:pPr>
            <w:r>
              <w:rPr>
                <w:color w:val="000000"/>
                <w:highlight w:val="none"/>
              </w:rPr>
              <w:t xml:space="preserve">考核人员：</w:t>
            </w:r>
            <w:r/>
          </w:p>
          <w:p>
            <w:pPr>
              <w:pStyle w:val="1026"/>
              <w:ind w:firstLine="5280"/>
              <w:spacing w:line="440" w:lineRule="exact"/>
              <w:rPr>
                <w:rStyle w:val="1022"/>
                <w:rFonts w:hint="eastAsia" w:ascii="宋体" w:hAnsi="宋体" w:eastAsia="宋体" w:cs="宋体"/>
                <w:color w:val="000000"/>
                <w:highlight w:val="none"/>
              </w:rPr>
            </w:pPr>
            <w:r>
              <w:rPr>
                <w:color w:val="000000"/>
                <w:highlight w:val="none"/>
              </w:rPr>
              <w:t xml:space="preserve">日期：</w:t>
            </w:r>
            <w:r/>
          </w:p>
        </w:tc>
      </w:tr>
    </w:tbl>
    <w:p>
      <w:pPr>
        <w:pStyle w:val="1026"/>
        <w:spacing w:line="440" w:lineRule="exact"/>
        <w:rPr>
          <w:rStyle w:val="1022"/>
          <w:rFonts w:hint="eastAsia" w:ascii="宋体" w:hAnsi="宋体" w:eastAsia="宋体" w:cs="宋体"/>
          <w:b/>
          <w:bCs/>
          <w:color w:val="000000"/>
          <w:highlight w:val="none"/>
        </w:rPr>
      </w:pPr>
      <w:r>
        <w:rPr>
          <w:rStyle w:val="1022"/>
          <w:rFonts w:hint="eastAsia" w:ascii="宋体" w:hAnsi="宋体" w:eastAsia="宋体" w:cs="宋体"/>
          <w:color w:val="000000"/>
          <w:highlight w:val="none"/>
        </w:rPr>
        <w:t xml:space="preserve">注：招标人</w:t>
      </w:r>
      <w:r>
        <w:rPr>
          <w:rStyle w:val="1022"/>
          <w:rFonts w:ascii="宋体" w:hAnsi="宋体" w:eastAsia="宋体" w:cs="宋体"/>
          <w:color w:val="000000"/>
          <w:highlight w:val="none"/>
        </w:rPr>
        <w:t xml:space="preserve">有权在服务期内根据实际情况提出修改考核细则</w:t>
      </w:r>
      <w:r>
        <w:rPr>
          <w:rStyle w:val="1022"/>
          <w:rFonts w:hint="eastAsia" w:ascii="宋体" w:hAnsi="宋体" w:eastAsia="宋体" w:cs="宋体"/>
          <w:color w:val="000000"/>
          <w:highlight w:val="none"/>
        </w:rPr>
        <w:t xml:space="preserve">。</w:t>
      </w:r>
      <w:r/>
    </w:p>
    <w:p>
      <w:pPr>
        <w:pStyle w:val="1026"/>
        <w:rPr>
          <w:rStyle w:val="1022"/>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47"/>
        <w:spacing w:before="120" w:after="120"/>
        <w:rPr>
          <w:rFonts w:hint="eastAsia" w:ascii="宋体" w:cs="宋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850" w:gutter="0"/>
          <w:cols w:num="1" w:sep="0" w:space="720" w:equalWidth="1"/>
          <w:docGrid w:linePitch="360"/>
          <w:titlePg/>
        </w:sectPr>
      </w:pPr>
      <w:r>
        <w:rPr>
          <w:rFonts w:hint="eastAsia" w:ascii="宋体" w:cs="宋体"/>
          <w:color w:val="000000"/>
          <w:highlight w:val="none"/>
        </w:rPr>
      </w:r>
      <w:r/>
    </w:p>
    <w:p>
      <w:pPr>
        <w:pStyle w:val="747"/>
        <w:spacing w:before="120" w:after="120"/>
        <w:rPr>
          <w:rFonts w:hint="eastAsia" w:ascii="宋体" w:cs="宋体"/>
          <w:color w:val="000000"/>
          <w:highlight w:val="none"/>
        </w:rPr>
        <w:pBdr>
          <w:top w:val="none" w:color="000000" w:sz="0" w:space="0"/>
          <w:left w:val="none" w:color="000000" w:sz="0" w:space="0"/>
          <w:bottom w:val="none" w:color="000000" w:sz="0" w:space="0"/>
          <w:right w:val="none" w:color="000000" w:sz="0" w:space="0"/>
        </w:pBdr>
      </w:pPr>
      <w:r/>
      <w:bookmarkStart w:id="171" w:name="_Toc19213"/>
      <w:r>
        <w:rPr>
          <w:rFonts w:hint="eastAsia" w:ascii="宋体" w:cs="宋体"/>
          <w:color w:val="000000"/>
          <w:highlight w:val="none"/>
        </w:rPr>
        <w:t xml:space="preserve">第五章 评标方法与评标标准</w:t>
      </w:r>
      <w:bookmarkEnd w:id="171"/>
      <w:r/>
      <w:r/>
    </w:p>
    <w:p>
      <w:pPr>
        <w:pStyle w:val="748"/>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72" w:name="_Toc15922"/>
      <w:r>
        <w:rPr>
          <w:rFonts w:hint="eastAsia" w:ascii="宋体" w:hAnsi="宋体" w:cs="宋体"/>
          <w:color w:val="000000"/>
          <w:highlight w:val="none"/>
        </w:rPr>
        <w:t xml:space="preserve">一、评标方法与定标原则</w:t>
      </w:r>
      <w:bookmarkEnd w:id="172"/>
      <w:r/>
      <w:r/>
    </w:p>
    <w:p>
      <w:pPr>
        <w:ind w:firstLine="499"/>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748"/>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73" w:name="_Toc20132"/>
      <w:r>
        <w:rPr>
          <w:rFonts w:hint="eastAsia" w:ascii="宋体" w:hAnsi="宋体" w:cs="宋体"/>
          <w:color w:val="000000"/>
          <w:highlight w:val="none"/>
        </w:rPr>
        <w:t xml:space="preserve">二、评标标准</w:t>
      </w:r>
      <w:bookmarkEnd w:id="173"/>
      <w:r/>
      <w:r/>
    </w:p>
    <w:p>
      <w:pPr>
        <w:pStyle w:val="1026"/>
        <w:ind w:firstLine="500"/>
        <w:spacing w:line="360" w:lineRule="auto"/>
        <w:rPr>
          <w:rFonts w:hint="eastAsia" w:eastAsia="宋体"/>
          <w:bCs/>
          <w:spacing w:val="7"/>
          <w:highlight w:val="none"/>
          <w:lang w:val="en-US" w:eastAsia="zh-CN"/>
        </w:rPr>
      </w:pPr>
      <w:r>
        <w:rPr>
          <w:rFonts w:hint="eastAsia" w:eastAsia="宋体"/>
          <w:bCs/>
          <w:spacing w:val="7"/>
          <w:highlight w:val="none"/>
          <w:lang w:eastAsia="zh-CN"/>
        </w:rPr>
        <w:t xml:space="preserve">（</w:t>
      </w:r>
      <w:r>
        <w:rPr>
          <w:rFonts w:hint="eastAsia" w:eastAsia="宋体"/>
          <w:bCs/>
          <w:spacing w:val="7"/>
          <w:highlight w:val="none"/>
          <w:lang w:val="en-US" w:eastAsia="zh-CN"/>
        </w:rPr>
        <w:t xml:space="preserve">一</w:t>
      </w:r>
      <w:r>
        <w:rPr>
          <w:rFonts w:hint="eastAsia" w:eastAsia="宋体"/>
          <w:bCs/>
          <w:spacing w:val="7"/>
          <w:highlight w:val="none"/>
          <w:lang w:eastAsia="zh-CN"/>
        </w:rPr>
        <w:t xml:space="preserve">）</w:t>
      </w:r>
      <w:r>
        <w:rPr>
          <w:rFonts w:hint="eastAsia" w:eastAsia="宋体"/>
          <w:bCs/>
          <w:spacing w:val="7"/>
          <w:highlight w:val="none"/>
          <w:lang w:val="en-US" w:eastAsia="zh-CN"/>
        </w:rPr>
        <w:t xml:space="preserve">价格分15分</w:t>
      </w:r>
      <w:r/>
    </w:p>
    <w:p>
      <w:pPr>
        <w:pStyle w:val="1026"/>
        <w:ind w:firstLine="500"/>
        <w:spacing w:line="360" w:lineRule="auto"/>
        <w:rPr>
          <w:rFonts w:eastAsia="宋体"/>
          <w:bCs/>
          <w:spacing w:val="7"/>
          <w:highlight w:val="none"/>
        </w:rPr>
      </w:pPr>
      <w:r>
        <w:rPr>
          <w:rFonts w:hint="eastAsia" w:eastAsia="宋体"/>
          <w:bCs/>
          <w:spacing w:val="7"/>
          <w:highlight w:val="none"/>
        </w:rPr>
        <w:t xml:space="preserve">1价格分</w:t>
      </w:r>
      <w:r>
        <w:rPr>
          <w:rFonts w:hint="eastAsia" w:eastAsia="宋体"/>
          <w:bCs/>
          <w:spacing w:val="7"/>
          <w:highlight w:val="none"/>
          <w:lang w:val="en-US" w:eastAsia="zh-CN"/>
        </w:rPr>
        <w:t xml:space="preserve">15</w:t>
      </w:r>
      <w:r>
        <w:rPr>
          <w:rFonts w:hint="eastAsia" w:eastAsia="宋体"/>
          <w:bCs/>
          <w:spacing w:val="7"/>
          <w:highlight w:val="none"/>
        </w:rPr>
        <w:t xml:space="preserve">.0分</w:t>
      </w:r>
      <w:r/>
    </w:p>
    <w:p>
      <w:pPr>
        <w:pStyle w:val="1026"/>
        <w:ind w:firstLine="500"/>
        <w:spacing w:line="360" w:lineRule="auto"/>
        <w:rPr>
          <w:rFonts w:eastAsia="宋体"/>
          <w:spacing w:val="7"/>
          <w:highlight w:val="none"/>
        </w:rPr>
      </w:pPr>
      <w:r>
        <w:rPr>
          <w:rFonts w:eastAsia="宋体"/>
          <w:spacing w:val="7"/>
          <w:highlight w:val="none"/>
        </w:rPr>
        <w:t xml:space="preserve">采用低价优先法计算，即满足招标文件要求且投标价格最低的投标价为评标基准价，其价格分为满分</w:t>
      </w:r>
      <w:r>
        <w:rPr>
          <w:rFonts w:hint="eastAsia" w:eastAsia="宋体"/>
          <w:spacing w:val="7"/>
          <w:highlight w:val="none"/>
          <w:lang w:val="en-US" w:eastAsia="zh-CN"/>
        </w:rPr>
        <w:t xml:space="preserve">15</w:t>
      </w:r>
      <w:r>
        <w:rPr>
          <w:rFonts w:eastAsia="宋体"/>
          <w:spacing w:val="7"/>
          <w:highlight w:val="none"/>
        </w:rPr>
        <w:t xml:space="preserve">.0分。其他投标人的价格分统一按照下列公式计算：</w:t>
      </w:r>
      <w:r/>
    </w:p>
    <w:p>
      <w:pPr>
        <w:pStyle w:val="1026"/>
        <w:ind w:firstLine="500"/>
        <w:spacing w:line="360" w:lineRule="auto"/>
        <w:rPr>
          <w:rFonts w:eastAsia="宋体"/>
          <w:spacing w:val="7"/>
          <w:highlight w:val="none"/>
        </w:rPr>
      </w:pPr>
      <w:r>
        <w:rPr>
          <w:rFonts w:eastAsia="宋体"/>
          <w:spacing w:val="7"/>
          <w:highlight w:val="none"/>
        </w:rPr>
        <w:t xml:space="preserve">投标报价得分=（评标基准价/投标报价）*</w:t>
      </w:r>
      <w:r>
        <w:rPr>
          <w:rFonts w:hint="eastAsia" w:eastAsia="宋体"/>
          <w:spacing w:val="7"/>
          <w:highlight w:val="none"/>
          <w:lang w:val="en-US" w:eastAsia="zh-CN"/>
        </w:rPr>
        <w:t xml:space="preserve">15</w:t>
      </w:r>
      <w:r>
        <w:rPr>
          <w:rFonts w:eastAsia="宋体"/>
          <w:spacing w:val="7"/>
          <w:highlight w:val="none"/>
        </w:rPr>
        <w:t xml:space="preserve">.0% * 100（保留二位小数）。</w:t>
      </w:r>
      <w:r/>
    </w:p>
    <w:p>
      <w:pPr>
        <w:pStyle w:val="1026"/>
        <w:numPr>
          <w:ilvl w:val="0"/>
          <w:numId w:val="4"/>
        </w:numPr>
        <w:ind w:firstLine="500"/>
        <w:spacing w:line="360" w:lineRule="auto"/>
        <w:rPr>
          <w:rFonts w:hint="eastAsia" w:ascii="Times New Roman" w:hAnsi="Times New Roman" w:eastAsia="宋体" w:cs="Times New Roman"/>
          <w:spacing w:val="7"/>
          <w:highlight w:val="none"/>
          <w:lang w:eastAsia="zh-CN"/>
        </w:rPr>
      </w:pPr>
      <w:r>
        <w:rPr>
          <w:rFonts w:hint="eastAsia" w:ascii="Times New Roman" w:hAnsi="Times New Roman" w:eastAsia="宋体" w:cs="Times New Roman"/>
          <w:spacing w:val="7"/>
          <w:highlight w:val="none"/>
          <w:lang w:eastAsia="zh-CN"/>
        </w:rPr>
        <w:t xml:space="preserve">技术方案分</w:t>
      </w:r>
      <w:r>
        <w:rPr>
          <w:rFonts w:hint="eastAsia" w:eastAsia="宋体" w:cs="Times New Roman"/>
          <w:spacing w:val="7"/>
          <w:highlight w:val="none"/>
          <w:lang w:val="en-US" w:eastAsia="zh-CN"/>
        </w:rPr>
        <w:t xml:space="preserve">50</w:t>
      </w:r>
      <w:r>
        <w:rPr>
          <w:rFonts w:hint="eastAsia" w:ascii="Times New Roman" w:hAnsi="Times New Roman" w:eastAsia="宋体" w:cs="Times New Roman"/>
          <w:spacing w:val="7"/>
          <w:highlight w:val="none"/>
          <w:lang w:eastAsia="zh-CN"/>
        </w:rPr>
        <w:t xml:space="preserve">分</w:t>
      </w:r>
      <w:r/>
    </w:p>
    <w:p>
      <w:pPr>
        <w:pStyle w:val="1026"/>
        <w:numPr>
          <w:ilvl w:val="0"/>
          <w:numId w:val="0"/>
        </w:numPr>
        <w:ind w:firstLine="508"/>
        <w:spacing w:line="360" w:lineRule="auto"/>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1.针对本项目所制定的防治方案包含普查防治整体思路，</w:t>
      </w:r>
      <w:r>
        <w:rPr>
          <w:rFonts w:hint="eastAsia" w:eastAsia="宋体" w:cs="Times New Roman"/>
          <w:color w:val="000000" w:themeColor="text1"/>
          <w:spacing w:val="7"/>
          <w:highlight w:val="none"/>
          <w:lang w:val="en-US" w:eastAsia="zh-CN"/>
          <w14:textFill>
            <w14:solidFill>
              <w14:schemeClr w14:val="tx1"/>
            </w14:solidFill>
          </w14:textFill>
        </w:rPr>
        <w:t xml:space="preserve">方案</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措施，工作流程细化，工作进度计划，普查防治资料记录、保存、整理规范完整。方案完全包含上述内容且内容有实质性意义，且完全满足项目需求的，得2</w:t>
      </w:r>
      <w:r>
        <w:rPr>
          <w:rFonts w:hint="default" w:eastAsia="宋体" w:cs="Times New Roman"/>
          <w:color w:val="000000" w:themeColor="text1"/>
          <w:spacing w:val="7"/>
          <w:highlight w:val="none"/>
          <w:lang w:eastAsia="zh-CN"/>
          <w14:textFill>
            <w14:solidFill>
              <w14:schemeClr w14:val="tx1"/>
            </w14:solidFill>
          </w14:textFill>
        </w:rPr>
        <w:t xml:space="preserve">5</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分</w:t>
      </w:r>
      <w:r>
        <w:rPr>
          <w:rFonts w:hint="eastAsia" w:eastAsia="宋体" w:cs="Times New Roman"/>
          <w:color w:val="000000" w:themeColor="text1"/>
          <w:spacing w:val="7"/>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方案存在片面或部分内容无实质性意义，以上内容至少有4项有实质性意义的，能够满足项目需求的得 18分</w:t>
      </w:r>
      <w:r>
        <w:rPr>
          <w:rFonts w:hint="eastAsia" w:eastAsia="宋体" w:cs="Times New Roman"/>
          <w:color w:val="000000" w:themeColor="text1"/>
          <w:spacing w:val="7"/>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方案存在片面或部分内容无实质性意义，以上内容至少有3项有实质性意义的，只能满足基本要求的得 12分</w:t>
      </w:r>
      <w:r>
        <w:rPr>
          <w:rFonts w:hint="eastAsia" w:eastAsia="宋体" w:cs="Times New Roman"/>
          <w:color w:val="000000" w:themeColor="text1"/>
          <w:spacing w:val="7"/>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方案存在片面或部分内容无实质性意义，以上内容至少有2项有实质性意义的，部分满足基本要求的得6分</w:t>
      </w:r>
      <w:r>
        <w:rPr>
          <w:rFonts w:hint="eastAsia" w:eastAsia="宋体" w:cs="Times New Roman"/>
          <w:color w:val="000000" w:themeColor="text1"/>
          <w:spacing w:val="7"/>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未提供方案说明的或内容存在严重缺漏，完全脱离本项目内容的，不得分。【0</w:t>
      </w:r>
      <w:r>
        <w:rPr>
          <w:rFonts w:hint="eastAsia" w:eastAsia="宋体" w:cs="Times New Roman"/>
          <w:color w:val="000000" w:themeColor="text1"/>
          <w:spacing w:val="7"/>
          <w:highlight w:val="none"/>
          <w:lang w:val="en-US" w:eastAsia="zh-CN"/>
          <w14:textFill>
            <w14:solidFill>
              <w14:schemeClr w14:val="tx1"/>
            </w14:solidFill>
          </w14:textFill>
        </w:rPr>
        <w:t xml:space="preserve">/6/12/18/</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2</w:t>
      </w:r>
      <w:r>
        <w:rPr>
          <w:rFonts w:hint="default" w:eastAsia="宋体" w:cs="Times New Roman"/>
          <w:color w:val="000000" w:themeColor="text1"/>
          <w:spacing w:val="7"/>
          <w:highlight w:val="none"/>
          <w:lang w:eastAsia="zh-CN"/>
          <w14:textFill>
            <w14:solidFill>
              <w14:schemeClr w14:val="tx1"/>
            </w14:solidFill>
          </w14:textFill>
        </w:rPr>
        <w:t xml:space="preserve">5</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w:t>
      </w:r>
      <w:r/>
    </w:p>
    <w:p>
      <w:pPr>
        <w:pStyle w:val="1026"/>
        <w:ind w:firstLine="500"/>
        <w:spacing w:line="360" w:lineRule="auto"/>
        <w:rPr>
          <w:rFonts w:hint="default" w:ascii="Times New Roman" w:hAnsi="Times New Roman" w:eastAsia="宋体" w:cs="Times New Roman"/>
          <w:color w:val="000000" w:themeColor="text1"/>
          <w:spacing w:val="7"/>
          <w:highlight w:val="none"/>
          <w:lang w:val="en-US" w:eastAsia="zh-CN"/>
          <w14:textFill>
            <w14:solidFill>
              <w14:schemeClr w14:val="tx1"/>
            </w14:solidFill>
          </w14:textFill>
        </w:rPr>
      </w:pPr>
      <w:r>
        <w:rPr>
          <w:rFonts w:hint="eastAsia" w:eastAsia="宋体" w:cs="Times New Roman"/>
          <w:color w:val="000000" w:themeColor="text1"/>
          <w:spacing w:val="7"/>
          <w:highlight w:val="none"/>
          <w:lang w:val="en-US" w:eastAsia="zh-CN"/>
          <w14:textFill>
            <w14:solidFill>
              <w14:schemeClr w14:val="tx1"/>
            </w14:solidFill>
          </w14:textFill>
        </w:rPr>
        <w:t xml:space="preserve">2.投标人提供针对于本项目涉及区域的白蚁等害堤动物危害情况的了解、分析、及对项目涉及区域的地理环境熟悉程度进行评分，相关内容完整且有实质性意义的，得</w:t>
      </w:r>
      <w:r>
        <w:rPr>
          <w:rFonts w:hint="default" w:eastAsia="宋体" w:cs="Times New Roman"/>
          <w:color w:val="000000" w:themeColor="text1"/>
          <w:spacing w:val="7"/>
          <w:highlight w:val="none"/>
          <w:lang w:eastAsia="zh-CN"/>
          <w14:textFill>
            <w14:solidFill>
              <w14:schemeClr w14:val="tx1"/>
            </w14:solidFill>
          </w14:textFill>
        </w:rPr>
        <w:t xml:space="preserve">5</w:t>
      </w:r>
      <w:r>
        <w:rPr>
          <w:rFonts w:hint="eastAsia" w:eastAsia="宋体" w:cs="Times New Roman"/>
          <w:color w:val="000000" w:themeColor="text1"/>
          <w:spacing w:val="7"/>
          <w:highlight w:val="none"/>
          <w:lang w:val="en-US" w:eastAsia="zh-CN"/>
          <w14:textFill>
            <w14:solidFill>
              <w14:schemeClr w14:val="tx1"/>
            </w14:solidFill>
          </w14:textFill>
        </w:rPr>
        <w:t xml:space="preserve">分；方案内有部分缺少或部分内容无实质意义的，得</w:t>
      </w:r>
      <w:r>
        <w:rPr>
          <w:rFonts w:hint="default" w:eastAsia="宋体" w:cs="Times New Roman"/>
          <w:color w:val="000000" w:themeColor="text1"/>
          <w:spacing w:val="7"/>
          <w:highlight w:val="none"/>
          <w:lang w:eastAsia="zh-CN"/>
          <w14:textFill>
            <w14:solidFill>
              <w14:schemeClr w14:val="tx1"/>
            </w14:solidFill>
          </w14:textFill>
        </w:rPr>
        <w:t xml:space="preserve">3</w:t>
      </w:r>
      <w:r>
        <w:rPr>
          <w:rFonts w:hint="eastAsia" w:eastAsia="宋体" w:cs="Times New Roman"/>
          <w:color w:val="000000" w:themeColor="text1"/>
          <w:spacing w:val="7"/>
          <w:highlight w:val="none"/>
          <w:lang w:val="en-US" w:eastAsia="zh-CN"/>
          <w14:textFill>
            <w14:solidFill>
              <w14:schemeClr w14:val="tx1"/>
            </w14:solidFill>
          </w14:textFill>
        </w:rPr>
        <w:t xml:space="preserve">分；</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方案内容无实质性意义的</w:t>
      </w:r>
      <w:r>
        <w:rPr>
          <w:rFonts w:hint="eastAsia" w:eastAsia="宋体" w:cs="Times New Roman"/>
          <w:color w:val="000000" w:themeColor="text1"/>
          <w:spacing w:val="7"/>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得</w:t>
      </w:r>
      <w:r>
        <w:rPr>
          <w:rFonts w:hint="eastAsia" w:eastAsia="宋体" w:cs="Times New Roman"/>
          <w:color w:val="000000" w:themeColor="text1"/>
          <w:spacing w:val="7"/>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分</w:t>
      </w:r>
      <w:r>
        <w:rPr>
          <w:rFonts w:hint="eastAsia" w:eastAsia="宋体" w:cs="Times New Roman"/>
          <w:color w:val="000000" w:themeColor="text1"/>
          <w:spacing w:val="7"/>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未作说明的不得分</w:t>
      </w:r>
      <w:r>
        <w:rPr>
          <w:rFonts w:hint="eastAsia" w:eastAsia="宋体" w:cs="Times New Roman"/>
          <w:color w:val="000000" w:themeColor="text1"/>
          <w:spacing w:val="7"/>
          <w:highlight w:val="none"/>
          <w:lang w:val="en-US" w:eastAsia="zh-CN"/>
          <w14:textFill>
            <w14:solidFill>
              <w14:schemeClr w14:val="tx1"/>
            </w14:solidFill>
          </w14:textFill>
        </w:rPr>
        <w:t xml:space="preserve">。【0/1/</w:t>
      </w:r>
      <w:r>
        <w:rPr>
          <w:rFonts w:hint="default" w:eastAsia="宋体" w:cs="Times New Roman"/>
          <w:color w:val="000000" w:themeColor="text1"/>
          <w:spacing w:val="7"/>
          <w:highlight w:val="none"/>
          <w:lang w:eastAsia="zh-CN"/>
          <w14:textFill>
            <w14:solidFill>
              <w14:schemeClr w14:val="tx1"/>
            </w14:solidFill>
          </w14:textFill>
        </w:rPr>
        <w:t xml:space="preserve">3</w:t>
      </w:r>
      <w:r>
        <w:rPr>
          <w:rFonts w:hint="eastAsia" w:eastAsia="宋体" w:cs="Times New Roman"/>
          <w:color w:val="000000" w:themeColor="text1"/>
          <w:spacing w:val="7"/>
          <w:highlight w:val="none"/>
          <w:lang w:val="en-US" w:eastAsia="zh-CN"/>
          <w14:textFill>
            <w14:solidFill>
              <w14:schemeClr w14:val="tx1"/>
            </w14:solidFill>
          </w14:textFill>
        </w:rPr>
        <w:t xml:space="preserve">/</w:t>
      </w:r>
      <w:r>
        <w:rPr>
          <w:rFonts w:hint="default" w:eastAsia="宋体" w:cs="Times New Roman"/>
          <w:color w:val="000000" w:themeColor="text1"/>
          <w:spacing w:val="7"/>
          <w:highlight w:val="none"/>
          <w:lang w:eastAsia="zh-CN"/>
          <w14:textFill>
            <w14:solidFill>
              <w14:schemeClr w14:val="tx1"/>
            </w14:solidFill>
          </w14:textFill>
        </w:rPr>
        <w:t xml:space="preserve">5</w:t>
      </w:r>
      <w:r>
        <w:rPr>
          <w:rFonts w:hint="eastAsia" w:eastAsia="宋体" w:cs="Times New Roman"/>
          <w:color w:val="000000" w:themeColor="text1"/>
          <w:spacing w:val="7"/>
          <w:highlight w:val="none"/>
          <w:lang w:val="en-US" w:eastAsia="zh-CN"/>
          <w14:textFill>
            <w14:solidFill>
              <w14:schemeClr w14:val="tx1"/>
            </w14:solidFill>
          </w14:textFill>
        </w:rPr>
        <w:t xml:space="preserve">】</w:t>
      </w:r>
      <w:r/>
    </w:p>
    <w:p>
      <w:pPr>
        <w:pStyle w:val="1026"/>
        <w:ind w:firstLine="500"/>
        <w:spacing w:line="360" w:lineRule="auto"/>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pPr>
      <w:r>
        <w:rPr>
          <w:rFonts w:hint="eastAsia" w:eastAsia="宋体" w:cs="Times New Roman"/>
          <w:color w:val="000000" w:themeColor="text1"/>
          <w:spacing w:val="7"/>
          <w:highlight w:val="none"/>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.针对本项目制定的管理规章制度包含企业组织架构、企业规章制度、培训方案、人员管理方案。方案包含上述内容且有针对性、合理措施的，得</w:t>
      </w:r>
      <w:r>
        <w:rPr>
          <w:rFonts w:hint="eastAsia" w:eastAsia="宋体" w:cs="Times New Roman"/>
          <w:color w:val="000000" w:themeColor="text1"/>
          <w:spacing w:val="7"/>
          <w:highlight w:val="none"/>
          <w:lang w:val="en-US" w:eastAsia="zh-CN"/>
          <w14:textFill>
            <w14:solidFill>
              <w14:schemeClr w14:val="tx1"/>
            </w14:solidFill>
          </w14:textFill>
        </w:rPr>
        <w:t xml:space="preserve">12</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分；方案内容部分缺少对应内容或有些内容无实质性意义的，得</w:t>
      </w:r>
      <w:r>
        <w:rPr>
          <w:rFonts w:hint="eastAsia" w:eastAsia="宋体" w:cs="Times New Roman"/>
          <w:color w:val="000000" w:themeColor="text1"/>
          <w:spacing w:val="7"/>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分；方案内容无实质性意义的，得</w:t>
      </w:r>
      <w:r>
        <w:rPr>
          <w:rFonts w:hint="eastAsia" w:eastAsia="宋体" w:cs="Times New Roman"/>
          <w:color w:val="000000" w:themeColor="text1"/>
          <w:spacing w:val="7"/>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分；未作说明的不得分。【0</w:t>
      </w:r>
      <w:r>
        <w:rPr>
          <w:rFonts w:hint="eastAsia" w:eastAsia="宋体" w:cs="Times New Roman"/>
          <w:color w:val="000000" w:themeColor="text1"/>
          <w:spacing w:val="7"/>
          <w:highlight w:val="none"/>
          <w:lang w:val="en-US" w:eastAsia="zh-CN"/>
          <w14:textFill>
            <w14:solidFill>
              <w14:schemeClr w14:val="tx1"/>
            </w14:solidFill>
          </w14:textFill>
        </w:rPr>
        <w:t xml:space="preserve">/4/8/</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1</w:t>
      </w:r>
      <w:r>
        <w:rPr>
          <w:rFonts w:hint="eastAsia" w:eastAsia="宋体" w:cs="Times New Roman"/>
          <w:color w:val="000000" w:themeColor="text1"/>
          <w:spacing w:val="7"/>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w:t>
      </w:r>
      <w:r/>
    </w:p>
    <w:p>
      <w:pPr>
        <w:pStyle w:val="1026"/>
        <w:ind w:firstLine="500"/>
        <w:spacing w:line="360" w:lineRule="auto"/>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 </w:t>
      </w:r>
      <w:r>
        <w:rPr>
          <w:rFonts w:hint="eastAsia" w:eastAsia="宋体" w:cs="Times New Roman"/>
          <w:color w:val="000000" w:themeColor="text1"/>
          <w:spacing w:val="7"/>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针对本项目制定的文明施工和安全保护措施包含安全文明施工方案、文明施工措施、扬尘噪音等管控措施、人员安全保护措施、施工现场保护措施。方案包含上述内容且有针对性、合理措施的，得8分；方案内容部分缺少对应内容或有些内容无实质性意义的，得4分；方案内容无实质性意义的得</w:t>
      </w:r>
      <w:r>
        <w:rPr>
          <w:rFonts w:hint="eastAsia" w:eastAsia="宋体" w:cs="Times New Roman"/>
          <w:color w:val="000000" w:themeColor="text1"/>
          <w:spacing w:val="7"/>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分；未作说明的不得分。【0</w:t>
      </w:r>
      <w:r>
        <w:rPr>
          <w:rFonts w:hint="eastAsia" w:eastAsia="宋体" w:cs="Times New Roman"/>
          <w:color w:val="000000" w:themeColor="text1"/>
          <w:spacing w:val="7"/>
          <w:highlight w:val="none"/>
          <w:lang w:val="en-US" w:eastAsia="zh-CN"/>
          <w14:textFill>
            <w14:solidFill>
              <w14:schemeClr w14:val="tx1"/>
            </w14:solidFill>
          </w14:textFill>
        </w:rPr>
        <w:t xml:space="preserve">/1/4/</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8】</w:t>
      </w:r>
      <w:r/>
    </w:p>
    <w:p>
      <w:pPr>
        <w:pStyle w:val="1026"/>
        <w:ind w:firstLine="500"/>
        <w:spacing w:line="360" w:lineRule="auto"/>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（三）企业综合实力</w:t>
      </w:r>
      <w:r>
        <w:rPr>
          <w:rFonts w:hint="eastAsia" w:eastAsia="宋体" w:cs="Times New Roman"/>
          <w:color w:val="000000" w:themeColor="text1"/>
          <w:spacing w:val="7"/>
          <w:highlight w:val="none"/>
          <w:lang w:val="en-US" w:eastAsia="zh-CN"/>
          <w14:textFill>
            <w14:solidFill>
              <w14:schemeClr w14:val="tx1"/>
            </w14:solidFill>
          </w14:textFill>
        </w:rPr>
        <w:t xml:space="preserve">3</w:t>
      </w:r>
      <w:r>
        <w:rPr>
          <w:rFonts w:hint="default" w:eastAsia="宋体" w:cs="Times New Roman"/>
          <w:color w:val="000000" w:themeColor="text1"/>
          <w:spacing w:val="7"/>
          <w:highlight w:val="none"/>
          <w:lang w:eastAsia="zh-CN"/>
          <w14:textFill>
            <w14:solidFill>
              <w14:schemeClr w14:val="tx1"/>
            </w14:solidFill>
          </w14:textFill>
        </w:rPr>
        <w:t xml:space="preserve">5</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分</w:t>
      </w:r>
      <w:r/>
    </w:p>
    <w:p>
      <w:pPr>
        <w:pStyle w:val="1026"/>
        <w:ind w:firstLine="500"/>
        <w:spacing w:line="360" w:lineRule="auto"/>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1.投标人拟投入项目负责人具有相关机构颁发的白蚁防治能力证书或省级（含）以上白蚁防治中心培训的从业人员证的，得</w:t>
      </w:r>
      <w:r>
        <w:rPr>
          <w:rFonts w:hint="eastAsia" w:eastAsia="宋体" w:cs="Times New Roman"/>
          <w:color w:val="000000" w:themeColor="text1"/>
          <w:spacing w:val="7"/>
          <w:highlight w:val="none"/>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分；项目负责人2022年1月1日以后担任过类似水利堤防白蚁等害堤动物普查及防治项目负责人的，每有一个项目得3分，最高得6分。</w:t>
      </w:r>
      <w:r>
        <w:rPr>
          <w:rFonts w:hint="default" w:eastAsia="宋体" w:cs="Times New Roman"/>
          <w:color w:val="000000" w:themeColor="text1"/>
          <w:spacing w:val="7"/>
          <w:highlight w:val="none"/>
          <w:lang w:eastAsia="zh-CN"/>
          <w14:textFill>
            <w14:solidFill>
              <w14:schemeClr w14:val="tx1"/>
            </w14:solidFill>
          </w14:textFill>
        </w:rPr>
        <w:t xml:space="preserve">本项最高得9分。</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（请在投标文件中</w:t>
      </w:r>
      <w:r>
        <w:rPr>
          <w:rFonts w:hint="eastAsia" w:ascii="宋体" w:hAnsi="宋体" w:eastAsia="宋体" w:cs="宋体"/>
          <w:color w:val="000000" w:themeColor="text1"/>
          <w:highlight w:val="none"/>
          <w:lang w:bidi="ar"/>
          <w14:textFill>
            <w14:solidFill>
              <w14:schemeClr w14:val="tx1"/>
            </w14:solidFill>
          </w14:textFill>
        </w:rPr>
        <w:t xml:space="preserve">提供</w:t>
      </w:r>
      <w:r>
        <w:rPr>
          <w:rFonts w:hint="eastAsia" w:ascii="宋体" w:hAnsi="宋体" w:eastAsia="宋体" w:cs="宋体"/>
          <w:color w:val="000000" w:themeColor="text1"/>
          <w:highlight w:val="none"/>
          <w:lang w:val="en-US" w:eastAsia="zh-CN" w:bidi="ar"/>
          <w14:textFill>
            <w14:solidFill>
              <w14:schemeClr w14:val="tx1"/>
            </w14:solidFill>
          </w14:textFill>
        </w:rPr>
        <w:t xml:space="preserve">证书</w:t>
      </w:r>
      <w:r>
        <w:rPr>
          <w:rFonts w:hint="eastAsia" w:ascii="宋体" w:hAnsi="宋体" w:eastAsia="宋体" w:cs="宋体"/>
          <w:color w:val="000000" w:themeColor="text1"/>
          <w:highlight w:val="none"/>
          <w:lang w:bidi="ar"/>
          <w14:textFill>
            <w14:solidFill>
              <w14:schemeClr w14:val="tx1"/>
            </w14:solidFill>
          </w14:textFill>
        </w:rPr>
        <w:t xml:space="preserve">及投标人为其缴纳的社保证明</w:t>
      </w:r>
      <w:r>
        <w:rPr>
          <w:rFonts w:hint="eastAsia" w:ascii="宋体" w:hAnsi="宋体" w:eastAsia="宋体" w:cs="宋体"/>
          <w:color w:val="000000" w:themeColor="text1"/>
          <w:highlight w:val="none"/>
          <w:lang w:eastAsia="zh-CN" w:bidi="ar"/>
          <w14:textFill>
            <w14:solidFill>
              <w14:schemeClr w14:val="tx1"/>
            </w14:solidFill>
          </w14:textFill>
        </w:rPr>
        <w:t xml:space="preserve">；</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提供已完成的且有甲方盖章的项目验收报告、已完成项目发票等证明材料。</w:t>
      </w:r>
      <w:r>
        <w:rPr>
          <w:rFonts w:hint="eastAsia" w:ascii="宋体" w:hAnsi="宋体" w:eastAsia="宋体" w:cs="宋体"/>
          <w:color w:val="000000" w:themeColor="text1"/>
          <w:highlight w:val="none"/>
          <w:lang w:bidi="ar"/>
          <w14:textFill>
            <w14:solidFill>
              <w14:schemeClr w14:val="tx1"/>
            </w14:solidFill>
          </w14:textFill>
        </w:rPr>
        <w:t xml:space="preserve">不提供或提供不全不得分</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）【0</w:t>
      </w:r>
      <w:r>
        <w:rPr>
          <w:rFonts w:hint="eastAsia" w:eastAsia="宋体" w:cs="Times New Roman"/>
          <w:color w:val="000000" w:themeColor="text1"/>
          <w:spacing w:val="7"/>
          <w:highlight w:val="none"/>
          <w:lang w:val="en-US" w:eastAsia="zh-CN"/>
          <w14:textFill>
            <w14:solidFill>
              <w14:schemeClr w14:val="tx1"/>
            </w14:solidFill>
          </w14:textFill>
        </w:rPr>
        <w:t xml:space="preserve">/3/</w:t>
      </w:r>
      <w:r>
        <w:rPr>
          <w:rFonts w:hint="default" w:eastAsia="宋体" w:cs="Times New Roman"/>
          <w:color w:val="000000" w:themeColor="text1"/>
          <w:spacing w:val="7"/>
          <w:highlight w:val="none"/>
          <w:lang w:eastAsia="zh-CN"/>
          <w14:textFill>
            <w14:solidFill>
              <w14:schemeClr w14:val="tx1"/>
            </w14:solidFill>
          </w14:textFill>
        </w:rPr>
        <w:t xml:space="preserve">6/9</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w:t>
      </w:r>
      <w:r/>
    </w:p>
    <w:p>
      <w:pPr>
        <w:pStyle w:val="1026"/>
        <w:ind w:firstLine="500"/>
        <w:spacing w:line="360" w:lineRule="auto"/>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2.投标人拟投入项目组人员具有省级（含）以上白蚁防治中心培训的从业人员证或相关机构颁发的白蚁防治能力证书的有一个得2分，人员证书按最高等级计取不重复计算，最高得</w:t>
      </w:r>
      <w:r>
        <w:rPr>
          <w:rFonts w:hint="eastAsia" w:eastAsia="宋体" w:cs="Times New Roman"/>
          <w:color w:val="000000" w:themeColor="text1"/>
          <w:spacing w:val="7"/>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分</w:t>
      </w:r>
      <w:r>
        <w:rPr>
          <w:rFonts w:hint="eastAsia" w:eastAsia="宋体" w:cs="Times New Roman"/>
          <w:color w:val="000000" w:themeColor="text1"/>
          <w:spacing w:val="7"/>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具有相关机构颁发的有害生物防制员证书的，有一个得1分，人员证书按最高等级计取不重复计算，最高得4分。本项最高得</w:t>
      </w:r>
      <w:r>
        <w:rPr>
          <w:rFonts w:hint="eastAsia" w:eastAsia="宋体" w:cs="Times New Roman"/>
          <w:color w:val="000000" w:themeColor="text1"/>
          <w:spacing w:val="7"/>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分。</w:t>
      </w:r>
      <w:r>
        <w:rPr>
          <w:rFonts w:hint="eastAsia" w:ascii="宋体" w:hAnsi="宋体" w:eastAsia="宋体" w:cs="宋体"/>
          <w:color w:val="000000" w:themeColor="text1"/>
          <w:highlight w:val="none"/>
          <w:lang w:bidi="ar"/>
          <w14:textFill>
            <w14:solidFill>
              <w14:schemeClr w14:val="tx1"/>
            </w14:solidFill>
          </w14:textFill>
        </w:rPr>
        <w:t xml:space="preserve">一人多证按一人计算</w:t>
      </w:r>
      <w:r>
        <w:rPr>
          <w:rFonts w:hint="eastAsia" w:ascii="宋体" w:hAnsi="宋体" w:eastAsia="宋体" w:cs="宋体"/>
          <w:color w:val="000000" w:themeColor="text1"/>
          <w:highlight w:val="none"/>
          <w:lang w:eastAsia="zh-CN" w:bidi="ar"/>
          <w14:textFill>
            <w14:solidFill>
              <w14:schemeClr w14:val="tx1"/>
            </w14:solidFill>
          </w14:textFill>
        </w:rPr>
        <w:t xml:space="preserve">。</w:t>
      </w:r>
      <w:r>
        <w:rPr>
          <w:rFonts w:hint="eastAsia" w:ascii="宋体" w:hAnsi="宋体" w:eastAsia="宋体" w:cs="宋体"/>
          <w:color w:val="000000" w:themeColor="text1"/>
          <w:spacing w:val="7"/>
          <w:highlight w:val="none"/>
          <w14:textFill>
            <w14:solidFill>
              <w14:schemeClr w14:val="tx1"/>
            </w14:solidFill>
          </w14:textFill>
        </w:rPr>
        <w:t xml:space="preserve">（</w:t>
      </w:r>
      <w:r>
        <w:rPr>
          <w:rFonts w:hint="eastAsia" w:ascii="宋体" w:hAnsi="宋体" w:eastAsia="宋体" w:cs="宋体"/>
          <w:color w:val="000000" w:themeColor="text1"/>
          <w:highlight w:val="none"/>
          <w:lang w:bidi="ar"/>
          <w14:textFill>
            <w14:solidFill>
              <w14:schemeClr w14:val="tx1"/>
            </w14:solidFill>
          </w14:textFill>
        </w:rPr>
        <w:t xml:space="preserve">请在投标文件中提供相关证明材料及投标人为其缴纳的社保证明，不提供或提供不全不得分</w:t>
      </w:r>
      <w:r>
        <w:rPr>
          <w:rFonts w:hint="eastAsia" w:ascii="宋体" w:hAnsi="宋体" w:eastAsia="宋体" w:cs="宋体"/>
          <w:color w:val="000000" w:themeColor="text1"/>
          <w:spacing w:val="7"/>
          <w:highlight w:val="none"/>
          <w14:textFill>
            <w14:solidFill>
              <w14:schemeClr w14:val="tx1"/>
            </w14:solidFill>
          </w14:textFill>
        </w:rPr>
        <w:t xml:space="preserve">）</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w:t>
      </w:r>
      <w:r>
        <w:rPr>
          <w:rFonts w:hint="eastAsia" w:eastAsia="宋体" w:cs="Times New Roman"/>
          <w:color w:val="000000" w:themeColor="text1"/>
          <w:spacing w:val="7"/>
          <w:highlight w:val="none"/>
          <w:lang w:val="en-US" w:eastAsia="zh-CN"/>
          <w14:textFill>
            <w14:solidFill>
              <w14:schemeClr w14:val="tx1"/>
            </w14:solidFill>
          </w14:textFill>
        </w:rPr>
        <w:t xml:space="preserve">0-8</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w:t>
      </w:r>
      <w:r/>
    </w:p>
    <w:p>
      <w:pPr>
        <w:pStyle w:val="1026"/>
        <w:ind w:firstLine="500"/>
        <w:spacing w:line="360" w:lineRule="auto"/>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3.投标人具有有害生物防治证书或白蚁防治资质的得2分</w:t>
      </w:r>
      <w:r>
        <w:rPr>
          <w:rFonts w:hint="eastAsia" w:ascii="宋体" w:hAnsi="宋体" w:eastAsia="宋体" w:cs="宋体"/>
          <w:bCs/>
          <w:color w:val="000000" w:themeColor="text1"/>
          <w:spacing w:val="7"/>
          <w:highlight w:val="none"/>
          <w14:textFill>
            <w14:solidFill>
              <w14:schemeClr w14:val="tx1"/>
            </w14:solidFill>
          </w14:textFill>
        </w:rPr>
        <w:t xml:space="preserve">（请在投标文件中提供证书扫描件，未提供不得分）</w:t>
      </w:r>
      <w:r>
        <w:rPr>
          <w:rFonts w:hint="eastAsia" w:ascii="宋体" w:hAnsi="宋体" w:eastAsia="宋体" w:cs="宋体"/>
          <w:bCs/>
          <w:color w:val="000000" w:themeColor="text1"/>
          <w:spacing w:val="7"/>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【0</w:t>
      </w:r>
      <w:r>
        <w:rPr>
          <w:rFonts w:hint="eastAsia" w:eastAsia="宋体" w:cs="Times New Roman"/>
          <w:color w:val="000000" w:themeColor="text1"/>
          <w:spacing w:val="7"/>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w:t>
      </w:r>
      <w:r/>
    </w:p>
    <w:p>
      <w:pPr>
        <w:pStyle w:val="1026"/>
        <w:ind w:firstLine="500"/>
        <w:spacing w:line="360" w:lineRule="auto"/>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4.</w:t>
      </w:r>
      <w:r>
        <w:rPr>
          <w:rFonts w:hint="eastAsia" w:ascii="宋体" w:hAnsi="宋体" w:eastAsia="宋体" w:cs="宋体"/>
          <w:bCs/>
          <w:color w:val="000000" w:themeColor="text1"/>
          <w:spacing w:val="7"/>
          <w:highlight w:val="none"/>
          <w14:textFill>
            <w14:solidFill>
              <w14:schemeClr w14:val="tx1"/>
            </w14:solidFill>
          </w14:textFill>
        </w:rPr>
        <w:t xml:space="preserve">投标人2022年1月1日至今（以合同签订时间为准）承接过类似项目的，每有一个业绩得2分，最高得</w:t>
      </w:r>
      <w:r>
        <w:rPr>
          <w:rFonts w:hint="eastAsia" w:ascii="宋体" w:hAnsi="宋体" w:eastAsia="宋体" w:cs="宋体"/>
          <w:bCs/>
          <w:color w:val="000000" w:themeColor="text1"/>
          <w:spacing w:val="7"/>
          <w:highlight w:val="none"/>
          <w:lang w:val="en-US" w:eastAsia="zh-CN"/>
          <w14:textFill>
            <w14:solidFill>
              <w14:schemeClr w14:val="tx1"/>
            </w14:solidFill>
          </w14:textFill>
        </w:rPr>
        <w:t xml:space="preserve">6</w:t>
      </w:r>
      <w:r>
        <w:rPr>
          <w:rFonts w:hint="eastAsia" w:ascii="宋体" w:hAnsi="宋体" w:eastAsia="宋体" w:cs="宋体"/>
          <w:bCs/>
          <w:color w:val="000000" w:themeColor="text1"/>
          <w:spacing w:val="7"/>
          <w:highlight w:val="none"/>
          <w14:textFill>
            <w14:solidFill>
              <w14:schemeClr w14:val="tx1"/>
            </w14:solidFill>
          </w14:textFill>
        </w:rPr>
        <w:t xml:space="preserve">分。（提供项目业绩合同、发票、甲方盖章验收报告或相关证明材料扫描件，提供不全不得分。</w:t>
      </w:r>
      <w:r>
        <w:rPr>
          <w:rFonts w:hint="eastAsia" w:ascii="宋体" w:hAnsi="宋体" w:eastAsia="宋体" w:cs="宋体"/>
          <w:bCs/>
          <w:color w:val="000000" w:themeColor="text1"/>
          <w:spacing w:val="7"/>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【0</w:t>
      </w:r>
      <w:r>
        <w:rPr>
          <w:rFonts w:hint="eastAsia" w:eastAsia="宋体" w:cs="Times New Roman"/>
          <w:color w:val="000000" w:themeColor="text1"/>
          <w:spacing w:val="7"/>
          <w:highlight w:val="none"/>
          <w:lang w:val="en-US" w:eastAsia="zh-CN"/>
          <w14:textFill>
            <w14:solidFill>
              <w14:schemeClr w14:val="tx1"/>
            </w14:solidFill>
          </w14:textFill>
        </w:rPr>
        <w:t xml:space="preserve">/2/4/6</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w:t>
      </w:r>
      <w:r/>
    </w:p>
    <w:p>
      <w:pPr>
        <w:pStyle w:val="1026"/>
        <w:ind w:firstLine="500"/>
        <w:spacing w:line="360" w:lineRule="auto"/>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5.设备配备分10分</w:t>
      </w:r>
      <w:r/>
    </w:p>
    <w:p>
      <w:pPr>
        <w:pStyle w:val="1026"/>
        <w:ind w:firstLine="500"/>
        <w:spacing w:line="360" w:lineRule="auto"/>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（1）专用工器具3分</w:t>
      </w:r>
      <w:r/>
    </w:p>
    <w:p>
      <w:pPr>
        <w:pStyle w:val="1026"/>
        <w:ind w:firstLine="500"/>
        <w:spacing w:line="360" w:lineRule="auto"/>
        <w:rPr>
          <w:rFonts w:hint="eastAsia" w:ascii="Times New Roman" w:hAnsi="Times New Roman" w:eastAsia="宋体" w:cs="Times New Roman"/>
          <w:spacing w:val="7"/>
          <w:highlight w:val="none"/>
          <w:lang w:val="en-US" w:eastAsia="zh-CN"/>
        </w:rPr>
      </w:pP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根据投标人针对本项目配备的专用工器具情况进行评分（包含但不限于白蚁防治专用工具、钻孔机、车载喷药车等内容）：专用工器具</w:t>
      </w:r>
      <w:r>
        <w:rPr>
          <w:rFonts w:hint="eastAsia" w:eastAsia="宋体" w:cs="Times New Roman"/>
          <w:color w:val="000000" w:themeColor="text1"/>
          <w:spacing w:val="7"/>
          <w:highlight w:val="none"/>
          <w:lang w:val="en-US" w:eastAsia="zh-CN"/>
          <w14:textFill>
            <w14:solidFill>
              <w14:schemeClr w14:val="tx1"/>
            </w14:solidFill>
          </w14:textFill>
        </w:rPr>
        <w:t xml:space="preserve">配备</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方案包含上述内容且满足或高于项目需求的得3分，每缺一项工器具工具扣1分；扣完为止</w:t>
      </w:r>
      <w:r>
        <w:rPr>
          <w:rFonts w:hint="eastAsia" w:eastAsia="宋体" w:cs="Times New Roman"/>
          <w:color w:val="000000" w:themeColor="text1"/>
          <w:spacing w:val="7"/>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pacing w:val="7"/>
          <w:highlight w:val="none"/>
          <w:lang w:val="en-US" w:eastAsia="zh-CN"/>
          <w14:textFill>
            <w14:solidFill>
              <w14:schemeClr w14:val="tx1"/>
            </w14:solidFill>
          </w14:textFill>
        </w:rPr>
        <w:t xml:space="preserve">（请在投标文件中提供自有或租赁的相关证明材料，若为自</w:t>
      </w:r>
      <w:r>
        <w:rPr>
          <w:rFonts w:hint="eastAsia" w:ascii="Times New Roman" w:hAnsi="Times New Roman" w:eastAsia="宋体" w:cs="Times New Roman"/>
          <w:spacing w:val="7"/>
          <w:highlight w:val="none"/>
          <w:lang w:val="en-US" w:eastAsia="zh-CN"/>
        </w:rPr>
        <w:t xml:space="preserve">有的请提供购买发票原件扫描件/电子件，若为租赁的请提供租赁合同及租赁发票原件扫描件/电子件）【0</w:t>
      </w:r>
      <w:r>
        <w:rPr>
          <w:rFonts w:hint="eastAsia" w:eastAsia="宋体" w:cs="Times New Roman"/>
          <w:spacing w:val="7"/>
          <w:highlight w:val="none"/>
          <w:lang w:val="en-US" w:eastAsia="zh-CN"/>
        </w:rPr>
        <w:t xml:space="preserve">/1/2/3</w:t>
      </w:r>
      <w:r>
        <w:rPr>
          <w:rFonts w:hint="eastAsia" w:ascii="Times New Roman" w:hAnsi="Times New Roman" w:eastAsia="宋体" w:cs="Times New Roman"/>
          <w:spacing w:val="7"/>
          <w:highlight w:val="none"/>
          <w:lang w:val="en-US" w:eastAsia="zh-CN"/>
        </w:rPr>
        <w:t xml:space="preserve">】</w:t>
      </w:r>
      <w:r/>
    </w:p>
    <w:p>
      <w:pPr>
        <w:pStyle w:val="1026"/>
        <w:ind w:firstLine="500"/>
        <w:spacing w:line="360" w:lineRule="auto"/>
        <w:rPr>
          <w:rFonts w:hint="eastAsia" w:ascii="Times New Roman" w:hAnsi="Times New Roman" w:eastAsia="宋体" w:cs="Times New Roman"/>
          <w:spacing w:val="7"/>
          <w:highlight w:val="none"/>
          <w:lang w:val="en-US" w:eastAsia="zh-CN"/>
        </w:rPr>
      </w:pPr>
      <w:r>
        <w:rPr>
          <w:rFonts w:hint="eastAsia" w:ascii="Times New Roman" w:hAnsi="Times New Roman" w:eastAsia="宋体" w:cs="Times New Roman"/>
          <w:spacing w:val="7"/>
          <w:highlight w:val="none"/>
          <w:lang w:val="en-US" w:eastAsia="zh-CN"/>
        </w:rPr>
        <w:t xml:space="preserve">（2）作业车辆 2分</w:t>
      </w:r>
      <w:r/>
    </w:p>
    <w:p>
      <w:pPr>
        <w:pStyle w:val="1026"/>
        <w:ind w:firstLine="500"/>
        <w:spacing w:line="360" w:lineRule="auto"/>
        <w:rPr>
          <w:rFonts w:hint="eastAsia" w:ascii="Times New Roman" w:hAnsi="Times New Roman" w:eastAsia="宋体" w:cs="Times New Roman"/>
          <w:spacing w:val="7"/>
          <w:highlight w:val="none"/>
          <w:lang w:val="en-US" w:eastAsia="zh-CN"/>
        </w:rPr>
      </w:pPr>
      <w:r>
        <w:rPr>
          <w:rFonts w:hint="eastAsia" w:ascii="Times New Roman" w:hAnsi="Times New Roman" w:eastAsia="宋体" w:cs="Times New Roman"/>
          <w:spacing w:val="7"/>
          <w:highlight w:val="none"/>
          <w:lang w:val="en-US" w:eastAsia="zh-CN"/>
        </w:rPr>
        <w:t xml:space="preserve">根据投标人针对本项目配备的施工作业车辆，有一辆得1分，最多得2分（请在投标文件中提供自有或租赁的相关证明材料，若为自有的请提供购买发票原件扫描件/电子件</w:t>
      </w:r>
      <w:r>
        <w:rPr>
          <w:rFonts w:hint="eastAsia" w:ascii="宋体" w:hAnsi="宋体" w:eastAsia="宋体" w:cs="宋体"/>
          <w:bCs/>
          <w:spacing w:val="7"/>
          <w:highlight w:val="none"/>
        </w:rPr>
        <w:t xml:space="preserve">或者机动车登记证书扫描件</w:t>
      </w:r>
      <w:r>
        <w:rPr>
          <w:rFonts w:hint="eastAsia" w:ascii="Times New Roman" w:hAnsi="Times New Roman" w:eastAsia="宋体" w:cs="Times New Roman"/>
          <w:spacing w:val="7"/>
          <w:highlight w:val="none"/>
          <w:lang w:val="en-US" w:eastAsia="zh-CN"/>
        </w:rPr>
        <w:t xml:space="preserve">、行驶证照片和车辆照片；若为租赁的请提供租赁协议（合同）、租赁发票原件扫描件/电子件、行驶证照片和车辆照片）。【0</w:t>
      </w:r>
      <w:r>
        <w:rPr>
          <w:rFonts w:hint="eastAsia" w:eastAsia="宋体" w:cs="Times New Roman"/>
          <w:spacing w:val="7"/>
          <w:highlight w:val="none"/>
          <w:lang w:val="en-US" w:eastAsia="zh-CN"/>
        </w:rPr>
        <w:t xml:space="preserve">/1/2</w:t>
      </w:r>
      <w:r>
        <w:rPr>
          <w:rFonts w:hint="eastAsia" w:ascii="Times New Roman" w:hAnsi="Times New Roman" w:eastAsia="宋体" w:cs="Times New Roman"/>
          <w:spacing w:val="7"/>
          <w:highlight w:val="none"/>
          <w:lang w:val="en-US" w:eastAsia="zh-CN"/>
        </w:rPr>
        <w:t xml:space="preserve">】</w:t>
      </w:r>
      <w:r/>
    </w:p>
    <w:p>
      <w:pPr>
        <w:pStyle w:val="1026"/>
        <w:ind w:firstLine="500"/>
        <w:spacing w:line="360" w:lineRule="auto"/>
        <w:rPr>
          <w:rFonts w:hint="default" w:ascii="宋体" w:hAnsi="宋体" w:eastAsia="宋体" w:cs="宋体"/>
          <w:bCs/>
          <w:spacing w:val="7"/>
          <w:highlight w:val="none"/>
          <w:lang w:val="en-US" w:eastAsia="zh-CN"/>
        </w:rPr>
      </w:pPr>
      <w:r>
        <w:rPr>
          <w:rFonts w:hint="eastAsia" w:ascii="Times New Roman" w:hAnsi="Times New Roman" w:eastAsia="宋体" w:cs="Times New Roman"/>
          <w:spacing w:val="7"/>
          <w:highlight w:val="none"/>
          <w:lang w:val="en-US" w:eastAsia="zh-CN"/>
        </w:rPr>
        <w:t xml:space="preserve">（3）信息化设备 5分</w:t>
      </w:r>
      <w:r/>
    </w:p>
    <w:p>
      <w:pPr>
        <w:pStyle w:val="1026"/>
        <w:ind w:firstLine="500"/>
        <w:spacing w:line="360" w:lineRule="auto"/>
        <w:rPr>
          <w:rFonts w:hint="eastAsia" w:ascii="Times New Roman" w:hAnsi="Times New Roman" w:eastAsia="宋体" w:cs="Times New Roman"/>
          <w:spacing w:val="7"/>
          <w:highlight w:val="none"/>
          <w:lang w:val="en-US" w:eastAsia="zh-CN"/>
        </w:rPr>
      </w:pPr>
      <w:r>
        <w:rPr>
          <w:rFonts w:hint="eastAsia" w:ascii="宋体" w:hAnsi="宋体" w:eastAsia="宋体" w:cs="宋体"/>
          <w:bCs/>
          <w:spacing w:val="7"/>
          <w:highlight w:val="none"/>
        </w:rPr>
      </w:r>
      <w:r>
        <w:t xml:space="preserve">投标人为本项目提供的信息化智能预警监测装置系统属于投标人自主研发，租赁他人或购买的得5分</w:t>
      </w:r>
      <w:r>
        <w:rPr>
          <w:rFonts w:hint="eastAsia" w:ascii="宋体" w:hAnsi="宋体" w:eastAsia="宋体" w:cs="宋体"/>
          <w:bCs/>
          <w:spacing w:val="7"/>
          <w:highlight w:val="none"/>
        </w:rPr>
        <w:t xml:space="preserve">。若投标人自主研发的，提供系统开发知识产权证明（如计算机软件著作权登记证书或软件产品证书等，下同）、后台服务器租赁发票等相关证明材料；若投标人购买的，提供购买合同、购买发票、系统</w:t>
      </w:r>
      <w:bookmarkStart w:id="194" w:name="_GoBack"/>
      <w:r/>
      <w:bookmarkEnd w:id="194"/>
      <w:r>
        <w:rPr>
          <w:rFonts w:hint="eastAsia" w:ascii="宋体" w:hAnsi="宋体" w:eastAsia="宋体" w:cs="宋体"/>
          <w:bCs/>
          <w:spacing w:val="7"/>
          <w:highlight w:val="none"/>
        </w:rPr>
        <w:t xml:space="preserve">开发公司取得的知识产权证明、后台服务器租赁发票等相关证明材料；若租赁他人公司的，提供租赁协议（合同）、租赁发票、系统开发公司取得的知识产权证明、后台服务器租赁发票等相关证明材料；未提供或提供不全不得分。</w:t>
      </w:r>
      <w:r>
        <w:rPr>
          <w:rFonts w:hint="eastAsia" w:ascii="Times New Roman" w:hAnsi="Times New Roman" w:eastAsia="宋体" w:cs="Times New Roman"/>
          <w:spacing w:val="7"/>
          <w:highlight w:val="none"/>
          <w:lang w:val="en-US" w:eastAsia="zh-CN"/>
        </w:rPr>
        <w:t xml:space="preserve">【0</w:t>
      </w:r>
      <w:r>
        <w:rPr>
          <w:rFonts w:hint="eastAsia" w:eastAsia="宋体" w:cs="Times New Roman"/>
          <w:spacing w:val="7"/>
          <w:highlight w:val="none"/>
          <w:lang w:val="en-US" w:eastAsia="zh-CN"/>
        </w:rPr>
        <w:t xml:space="preserve">/5</w:t>
      </w:r>
      <w:r>
        <w:rPr>
          <w:rFonts w:hint="eastAsia" w:ascii="Times New Roman" w:hAnsi="Times New Roman" w:eastAsia="宋体" w:cs="Times New Roman"/>
          <w:spacing w:val="7"/>
          <w:highlight w:val="none"/>
          <w:lang w:val="en-US" w:eastAsia="zh-CN"/>
        </w:rPr>
        <w:t xml:space="preserve">】</w:t>
      </w:r>
      <w:r/>
    </w:p>
    <w:p>
      <w:pPr>
        <w:pStyle w:val="1026"/>
        <w:ind w:firstLine="500"/>
        <w:spacing w:line="360" w:lineRule="auto"/>
        <w:rPr>
          <w:rFonts w:hint="eastAsia" w:ascii="Times New Roman" w:hAnsi="Times New Roman" w:eastAsia="宋体" w:cs="Times New Roman"/>
          <w:spacing w:val="7"/>
          <w:highlight w:val="none"/>
          <w:lang w:val="en-US" w:eastAsia="zh-CN"/>
        </w:rPr>
      </w:pPr>
      <w:r>
        <w:rPr>
          <w:rFonts w:hint="eastAsia" w:ascii="Times New Roman" w:hAnsi="Times New Roman" w:eastAsia="宋体" w:cs="Times New Roman"/>
          <w:spacing w:val="7"/>
          <w:highlight w:val="none"/>
          <w:lang w:val="en-US" w:eastAsia="zh-CN"/>
        </w:rPr>
      </w:r>
      <w:r/>
    </w:p>
    <w:p>
      <w:pPr>
        <w:ind w:firstLine="482"/>
        <w:spacing w:line="440" w:lineRule="atLeast"/>
        <w:rPr>
          <w:rFonts w:ascii="Times New Roman" w:hAnsi="Times New Roman"/>
          <w:b/>
          <w:bCs/>
          <w:sz w:val="24"/>
          <w:highlight w:val="none"/>
        </w:rPr>
      </w:pPr>
      <w:r>
        <w:rPr>
          <w:rFonts w:ascii="Times New Roman" w:hAnsi="Times New Roman"/>
          <w:b/>
          <w:bCs/>
          <w:sz w:val="24"/>
          <w:highlight w:val="none"/>
        </w:rPr>
      </w:r>
      <w:r/>
    </w:p>
    <w:p>
      <w:pPr>
        <w:ind w:firstLine="482"/>
        <w:spacing w:line="440" w:lineRule="atLeast"/>
        <w:rPr>
          <w:rFonts w:ascii="Times New Roman" w:hAnsi="Times New Roman"/>
          <w:b/>
          <w:bCs/>
          <w:sz w:val="24"/>
          <w:highlight w:val="none"/>
        </w:rPr>
      </w:pPr>
      <w:r>
        <w:rPr>
          <w:rFonts w:ascii="Times New Roman" w:hAnsi="Times New Roman"/>
          <w:b/>
          <w:bCs/>
          <w:sz w:val="24"/>
          <w:highlight w:val="none"/>
        </w:rPr>
      </w:r>
      <w:r/>
    </w:p>
    <w:p>
      <w:pPr>
        <w:ind w:firstLine="482"/>
        <w:spacing w:line="440" w:lineRule="atLeast"/>
        <w:rPr>
          <w:rFonts w:ascii="Times New Roman" w:hAnsi="Times New Roman"/>
          <w:b/>
          <w:bCs/>
          <w:sz w:val="24"/>
          <w:highlight w:val="none"/>
        </w:rPr>
      </w:pPr>
      <w:r>
        <w:rPr>
          <w:rFonts w:ascii="Times New Roman" w:hAnsi="Times New Roman"/>
          <w:b/>
          <w:bCs/>
          <w:sz w:val="24"/>
          <w:highlight w:val="none"/>
        </w:rPr>
        <w:t xml:space="preserve">注:</w:t>
      </w:r>
      <w:r/>
    </w:p>
    <w:p>
      <w:pPr>
        <w:ind w:firstLine="482"/>
        <w:spacing w:line="440" w:lineRule="atLeast"/>
        <w:rPr>
          <w:rFonts w:ascii="Times New Roman" w:hAnsi="Times New Roman"/>
          <w:sz w:val="20"/>
          <w:highlight w:val="none"/>
        </w:rPr>
      </w:pPr>
      <w:r>
        <w:rPr>
          <w:rFonts w:ascii="Times New Roman" w:hAnsi="Times New Roman"/>
          <w:b/>
          <w:bCs/>
          <w:sz w:val="24"/>
          <w:highlight w:val="none"/>
        </w:rPr>
        <w:t xml:space="preserve">以上证明材料，不提供不得分。</w:t>
      </w:r>
      <w:bookmarkStart w:id="174" w:name="EBeb5e011c94484d45bc78085f792444b0"/>
      <w:r>
        <w:rPr>
          <w:rFonts w:ascii="Times New Roman" w:hAnsi="Times New Roman"/>
          <w:sz w:val="20"/>
          <w:highlight w:val="none"/>
        </w:rPr>
        <w:t xml:space="preserve"> </w:t>
      </w:r>
      <w:bookmarkEnd w:id="174"/>
      <w:r/>
      <w:r/>
    </w:p>
    <w:p>
      <w:pPr>
        <w:ind w:firstLine="482"/>
        <w:spacing w:line="440" w:lineRule="atLeast"/>
        <w:rPr>
          <w:rFonts w:ascii="Times New Roman" w:hAnsi="Times New Roman"/>
          <w:sz w:val="24"/>
          <w:highlight w:val="none"/>
        </w:rPr>
      </w:pPr>
      <w:r>
        <w:rPr>
          <w:rFonts w:ascii="Times New Roman" w:hAnsi="Times New Roman"/>
          <w:sz w:val="24"/>
          <w:highlight w:val="none"/>
        </w:rPr>
      </w:r>
      <w:r/>
    </w:p>
    <w:p>
      <w:pPr>
        <w:rPr>
          <w:rFonts w:hint="eastAsia"/>
          <w:highlight w:val="none"/>
        </w:rPr>
      </w:pPr>
      <w:r>
        <w:rPr>
          <w:rFonts w:hint="eastAsia"/>
          <w:highlight w:val="none"/>
        </w:rPr>
      </w:r>
      <w:r/>
    </w:p>
    <w:p>
      <w:pPr>
        <w:pStyle w:val="747"/>
        <w:spacing w:before="120" w:after="120"/>
        <w:rPr>
          <w:rFonts w:hint="eastAsia" w:ascii="宋体" w:cs="宋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850" w:gutter="0"/>
          <w:cols w:num="1" w:sep="0" w:space="720" w:equalWidth="1"/>
          <w:docGrid w:linePitch="360"/>
          <w:titlePg/>
        </w:sectPr>
      </w:pPr>
      <w:r>
        <w:rPr>
          <w:rFonts w:hint="eastAsia" w:ascii="宋体" w:cs="宋体"/>
          <w:color w:val="000000"/>
          <w:highlight w:val="none"/>
        </w:rPr>
      </w:r>
      <w:r/>
    </w:p>
    <w:p>
      <w:pPr>
        <w:pStyle w:val="747"/>
        <w:spacing w:before="120" w:after="120"/>
        <w:rPr>
          <w:rFonts w:hint="eastAsia" w:ascii="宋体" w:cs="宋体"/>
          <w:highlight w:val="none"/>
        </w:rPr>
        <w:pBdr>
          <w:top w:val="none" w:color="000000" w:sz="0" w:space="0"/>
          <w:left w:val="none" w:color="000000" w:sz="0" w:space="0"/>
          <w:bottom w:val="none" w:color="000000" w:sz="0" w:space="0"/>
          <w:right w:val="none" w:color="000000" w:sz="0" w:space="0"/>
        </w:pBdr>
      </w:pPr>
      <w:r/>
      <w:bookmarkStart w:id="175" w:name="_Toc10462"/>
      <w:r>
        <w:rPr>
          <w:rFonts w:hint="eastAsia" w:ascii="宋体" w:cs="宋体"/>
          <w:color w:val="000000"/>
          <w:highlight w:val="none"/>
        </w:rPr>
        <w:t xml:space="preserve">第六章 投标文件格式</w:t>
      </w:r>
      <w:bookmarkEnd w:id="175"/>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投标主要文件目录</w:t>
      </w:r>
      <w:r/>
    </w:p>
    <w:p>
      <w:pPr>
        <w:ind w:right="-124" w:firstLine="48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一、封面</w:t>
      </w:r>
      <w:r/>
    </w:p>
    <w:p>
      <w:pPr>
        <w:ind w:right="-124" w:firstLine="48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二、投标函</w:t>
      </w:r>
      <w:r/>
    </w:p>
    <w:p>
      <w:pPr>
        <w:ind w:right="-124"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三、开标一览表</w:t>
      </w:r>
      <w:r/>
    </w:p>
    <w:p>
      <w:pPr>
        <w:ind w:right="-124" w:firstLine="48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四、分项报价表</w:t>
      </w:r>
      <w:r/>
    </w:p>
    <w:p>
      <w:pPr>
        <w:ind w:right="-124" w:firstLine="48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五、资格证明文件</w:t>
      </w:r>
      <w:r/>
    </w:p>
    <w:p>
      <w:pPr>
        <w:ind w:right="-124" w:firstLine="96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法人或者其他组织的营业执照等证明文件，自然人的身份证明</w:t>
      </w:r>
      <w:r/>
    </w:p>
    <w:p>
      <w:pPr>
        <w:ind w:right="-124" w:firstLine="96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财务状况报告（成立不满一年不需要提供）</w:t>
      </w:r>
      <w:r/>
    </w:p>
    <w:p>
      <w:pPr>
        <w:ind w:right="-124" w:firstLine="96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依法缴纳税收和社会保障资金的相关材料</w:t>
      </w:r>
      <w:r/>
    </w:p>
    <w:p>
      <w:pPr>
        <w:ind w:right="-124" w:firstLine="96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具备履行合同所必需的设备和专业技术能力的书面声明</w:t>
      </w:r>
      <w:r/>
    </w:p>
    <w:p>
      <w:pPr>
        <w:ind w:right="-124" w:firstLine="96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参加政府采购活动前3年内在经营活动中没有重大违法记录的书面声明</w:t>
      </w:r>
      <w:r/>
    </w:p>
    <w:p>
      <w:pPr>
        <w:ind w:right="-124" w:firstLine="96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授权委托书</w:t>
      </w:r>
      <w:r/>
    </w:p>
    <w:p>
      <w:pPr>
        <w:ind w:right="-124" w:firstLine="96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关于资格证明文件的书面承诺</w:t>
      </w:r>
      <w:r/>
    </w:p>
    <w:p>
      <w:pPr>
        <w:ind w:right="-124" w:firstLine="96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中小企业声明函</w:t>
      </w:r>
      <w:r/>
    </w:p>
    <w:p>
      <w:pPr>
        <w:ind w:right="-124" w:firstLine="96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残疾人福利性单位声明函</w:t>
      </w:r>
      <w:r/>
    </w:p>
    <w:p>
      <w:pPr>
        <w:ind w:right="-124" w:firstLine="96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监狱企业的证明文件</w:t>
      </w:r>
      <w:r/>
    </w:p>
    <w:p>
      <w:pPr>
        <w:ind w:right="-124" w:firstLine="48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六、第四章项目需求中实质性要求响应对照表</w:t>
      </w:r>
      <w:r/>
    </w:p>
    <w:p>
      <w:pPr>
        <w:ind w:right="-124" w:firstLine="48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七、服务方案</w:t>
      </w:r>
      <w:r/>
    </w:p>
    <w:p>
      <w:pPr>
        <w:ind w:right="-124"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八、投标人情况介绍</w:t>
      </w:r>
      <w:r/>
    </w:p>
    <w:p>
      <w:pPr>
        <w:ind w:right="-124" w:firstLine="48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九、服务要求响应及偏离表</w:t>
      </w:r>
      <w:r/>
    </w:p>
    <w:p>
      <w:pPr>
        <w:ind w:right="-124" w:firstLine="48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十、商务条款响应及偏离表</w:t>
      </w:r>
      <w:r/>
    </w:p>
    <w:p>
      <w:pPr>
        <w:ind w:right="-124" w:firstLine="48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十一、其他材料</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pStyle w:val="748"/>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76" w:name="_Toc23541"/>
      <w:r>
        <w:rPr>
          <w:rFonts w:hint="eastAsia" w:ascii="宋体" w:hAnsi="宋体" w:cs="宋体"/>
          <w:color w:val="000000"/>
          <w:highlight w:val="none"/>
        </w:rPr>
        <w:t xml:space="preserve">一、封面</w:t>
      </w:r>
      <w:bookmarkEnd w:id="176"/>
      <w:r/>
      <w:r/>
    </w:p>
    <w:p>
      <w:pPr>
        <w:jc w:val="center"/>
        <w:spacing w:before="540" w:after="5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54"/>
          <w:highlight w:val="none"/>
        </w:rPr>
        <w:t xml:space="preserve">投 标 文 件</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pStyle w:val="789"/>
        <w:ind w:firstLine="0"/>
        <w:rPr>
          <w:rFonts w:hint="eastAsia" w:cs="宋体"/>
          <w:highlight w:val="none"/>
        </w:rPr>
      </w:pPr>
      <w:r>
        <w:rPr>
          <w:rFonts w:hint="eastAsia" w:cs="宋体"/>
          <w:highlight w:val="none"/>
        </w:rPr>
      </w:r>
      <w:r/>
    </w:p>
    <w:p>
      <w:pPr>
        <w:jc w:val="center"/>
        <w:spacing w:before="360" w:after="36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6"/>
          <w:highlight w:val="none"/>
        </w:rPr>
        <w:t xml:space="preserve">项目名称：</w:t>
      </w:r>
      <w:r/>
    </w:p>
    <w:p>
      <w:pPr>
        <w:jc w:val="center"/>
        <w:spacing w:before="360" w:after="36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6"/>
          <w:highlight w:val="none"/>
        </w:rPr>
        <w:t xml:space="preserve">招标编号：</w:t>
      </w:r>
      <w:r/>
    </w:p>
    <w:p>
      <w:pPr>
        <w:jc w:val="center"/>
        <w:spacing w:before="360" w:after="360"/>
        <w:rPr>
          <w:rFonts w:hint="eastAsia" w:ascii="宋体" w:hAnsi="宋体" w:cs="宋体"/>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6"/>
          <w:highlight w:val="none"/>
        </w:rPr>
      </w:r>
      <w:r/>
    </w:p>
    <w:p>
      <w:pPr>
        <w:jc w:val="center"/>
        <w:spacing w:before="360" w:after="360"/>
        <w:rPr>
          <w:rFonts w:hint="eastAsia" w:ascii="宋体" w:hAnsi="宋体" w:cs="宋体"/>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6"/>
          <w:highlight w:val="none"/>
        </w:rPr>
      </w:r>
      <w:r/>
    </w:p>
    <w:p>
      <w:pPr>
        <w:jc w:val="center"/>
        <w:spacing w:before="360" w:after="36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6"/>
          <w:highlight w:val="none"/>
        </w:rPr>
        <w:t xml:space="preserve">投标人名称：</w:t>
      </w:r>
      <w:r/>
    </w:p>
    <w:p>
      <w:pPr>
        <w:jc w:val="center"/>
        <w:spacing w:before="360" w:after="36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6"/>
          <w:highlight w:val="none"/>
        </w:rPr>
        <w:t xml:space="preserve">日期：</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pStyle w:val="748"/>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77" w:name="_Toc4113"/>
      <w:r>
        <w:rPr>
          <w:rFonts w:hint="eastAsia" w:ascii="宋体" w:hAnsi="宋体" w:cs="宋体"/>
          <w:color w:val="000000"/>
          <w:highlight w:val="none"/>
        </w:rPr>
        <w:t xml:space="preserve">二、投标函</w:t>
      </w:r>
      <w:bookmarkEnd w:id="177"/>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投标函</w:t>
      </w:r>
      <w:r/>
    </w:p>
    <w:p>
      <w:pPr>
        <w:spacing w:before="240" w:after="240"/>
        <w:rPr>
          <w:rFonts w:hint="eastAsia" w:ascii="宋体" w:hAnsi="宋体" w:cs="宋体"/>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致：</w:t>
      </w:r>
      <w:r>
        <w:rPr>
          <w:rFonts w:hint="eastAsia" w:ascii="宋体" w:hAnsi="宋体" w:cs="宋体"/>
          <w:highlight w:val="none"/>
          <w:u w:val="single"/>
        </w:rPr>
        <w:t xml:space="preserve">              </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根据贵方的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号招标文件，正式授权下述签字人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(姓名和职务)代表我方</w:t>
      </w:r>
      <w:r>
        <w:rPr>
          <w:rFonts w:hint="eastAsia" w:ascii="宋体" w:hAnsi="宋体" w:cs="宋体"/>
          <w:color w:val="000000"/>
          <w:sz w:val="24"/>
          <w:highlight w:val="none"/>
          <w:u w:val="single"/>
        </w:rPr>
        <w:t xml:space="preserve">        （投标人的名称）</w:t>
      </w:r>
      <w:r>
        <w:rPr>
          <w:rFonts w:hint="eastAsia" w:ascii="宋体" w:hAnsi="宋体" w:cs="宋体"/>
          <w:color w:val="000000"/>
          <w:sz w:val="24"/>
          <w:highlight w:val="none"/>
        </w:rPr>
        <w:t xml:space="preserve">，全权处理本次项目投标的有关事宜。</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据此函，签字人兹宣布同意如下：</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1、同意向贵方提供贵方可能另外要求的与投标有关的任何证据或资料；</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2、我们完全理解贵方不一定将合同授予最低报价的投标人；</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3、我们已详细审核全部招标文件及其有效补充文件，我们知道必须放弃提出含糊不清或误解问题的权利；</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4、一旦我方中标，我们将根据招标文件的规定，严格履行合同条款的责任和义务，并保证按照合同条款提供服务；</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5、与本投标有关的正式通讯地址为：</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传真：</w:t>
      </w:r>
      <w:r>
        <w:rPr>
          <w:rFonts w:hint="eastAsia" w:ascii="宋体" w:hAnsi="宋体" w:cs="宋体"/>
          <w:color w:val="000000"/>
          <w:sz w:val="24"/>
          <w:highlight w:val="none"/>
          <w:u w:val="single"/>
        </w:rPr>
        <w:t xml:space="preserve">                     </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投标单位代表姓名：</w:t>
      </w:r>
      <w:r>
        <w:rPr>
          <w:rFonts w:hint="eastAsia" w:ascii="宋体" w:hAnsi="宋体" w:cs="宋体"/>
          <w:color w:val="000000"/>
          <w:sz w:val="24"/>
          <w:highlight w:val="none"/>
          <w:u w:val="single"/>
        </w:rPr>
        <w:t xml:space="preserve">           </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投标单位名称：</w:t>
      </w:r>
      <w:r>
        <w:rPr>
          <w:rFonts w:hint="eastAsia" w:ascii="宋体" w:hAnsi="宋体" w:cs="宋体"/>
          <w:color w:val="000000"/>
          <w:sz w:val="24"/>
          <w:highlight w:val="none"/>
          <w:u w:val="single"/>
        </w:rPr>
        <w:t xml:space="preserve">              </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公章：</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pStyle w:val="748"/>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78" w:name="_Toc5001"/>
      <w:r>
        <w:rPr>
          <w:rFonts w:hint="eastAsia" w:ascii="宋体" w:hAnsi="宋体" w:cs="宋体"/>
          <w:color w:val="000000"/>
          <w:highlight w:val="none"/>
        </w:rPr>
        <w:t xml:space="preserve">三、开标一览表</w:t>
      </w:r>
      <w:bookmarkEnd w:id="178"/>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开标一览表</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投标单位全称（加盖公章）：</w:t>
      </w:r>
      <w:r>
        <w:rPr>
          <w:rFonts w:hint="eastAsia" w:ascii="宋体" w:hAnsi="宋体" w:cs="宋体"/>
          <w:color w:val="000000"/>
          <w:sz w:val="24"/>
          <w:highlight w:val="none"/>
          <w:u w:val="single"/>
        </w:rPr>
        <w:t xml:space="preserve">                            </w:t>
      </w:r>
      <w:r/>
    </w:p>
    <w:p>
      <w:pPr>
        <w:spacing w:before="240" w:after="24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781"/>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04"/>
        <w:gridCol w:w="1541"/>
        <w:gridCol w:w="2933"/>
        <w:gridCol w:w="1602"/>
      </w:tblGrid>
      <w:tr>
        <w:trPr>
          <w:jc w:val="center"/>
          <w:trHeight w:val="680"/>
        </w:trPr>
        <w:tc>
          <w:tcPr>
            <w:gridSpan w:val="2"/>
            <w:tcMar>
              <w:left w:w="0" w:type="dxa"/>
              <w:top w:w="0" w:type="dxa"/>
              <w:right w:w="0" w:type="dxa"/>
              <w:bottom w:w="0" w:type="dxa"/>
            </w:tcMar>
            <w:tcW w:w="4545" w:type="dxa"/>
            <w:vAlign w:val="center"/>
            <w:textDirection w:val="lrTb"/>
            <w:noWrap w:val="false"/>
          </w:tcPr>
          <w:p>
            <w:pPr>
              <w:jc w:val="center"/>
              <w:spacing w:before="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p>
        </w:tc>
        <w:tc>
          <w:tcPr>
            <w:tcMar>
              <w:left w:w="0" w:type="dxa"/>
              <w:top w:w="0" w:type="dxa"/>
              <w:right w:w="0" w:type="dxa"/>
              <w:bottom w:w="0" w:type="dxa"/>
            </w:tcMar>
            <w:tcW w:w="2933" w:type="dxa"/>
            <w:vAlign w:val="center"/>
            <w:textDirection w:val="lrTb"/>
            <w:noWrap w:val="false"/>
          </w:tcPr>
          <w:p>
            <w:pPr>
              <w:jc w:val="center"/>
              <w:spacing w:before="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总价（元）</w:t>
            </w:r>
            <w:r/>
          </w:p>
        </w:tc>
        <w:tc>
          <w:tcPr>
            <w:tcMar>
              <w:left w:w="0" w:type="dxa"/>
              <w:top w:w="0" w:type="dxa"/>
              <w:right w:w="0" w:type="dxa"/>
              <w:bottom w:w="0" w:type="dxa"/>
            </w:tcMar>
            <w:tcW w:w="1602" w:type="dxa"/>
            <w:vAlign w:val="center"/>
            <w:textDirection w:val="lrTb"/>
            <w:noWrap w:val="false"/>
          </w:tcPr>
          <w:p>
            <w:pPr>
              <w:jc w:val="center"/>
              <w:spacing w:before="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备注</w:t>
            </w:r>
            <w:r/>
          </w:p>
        </w:tc>
      </w:tr>
      <w:tr>
        <w:trPr>
          <w:jc w:val="center"/>
          <w:trHeight w:val="650"/>
        </w:trPr>
        <w:tc>
          <w:tcPr>
            <w:gridSpan w:val="2"/>
            <w:tcMar>
              <w:left w:w="0" w:type="dxa"/>
              <w:top w:w="0" w:type="dxa"/>
              <w:right w:w="0" w:type="dxa"/>
              <w:bottom w:w="0" w:type="dxa"/>
            </w:tcMar>
            <w:tcW w:w="4545"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2933" w:type="dxa"/>
            <w:vAlign w:val="center"/>
            <w:textDirection w:val="lrTb"/>
            <w:noWrap w:val="false"/>
          </w:tcPr>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1602" w:type="dxa"/>
            <w:vAlign w:val="center"/>
            <w:textDirection w:val="lrTb"/>
            <w:noWrap w:val="false"/>
          </w:tcPr>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r>
      <w:tr>
        <w:trPr>
          <w:jc w:val="center"/>
          <w:trHeight w:val="680"/>
        </w:trPr>
        <w:tc>
          <w:tcPr>
            <w:tcMar>
              <w:left w:w="0" w:type="dxa"/>
              <w:top w:w="0" w:type="dxa"/>
              <w:right w:w="0" w:type="dxa"/>
              <w:bottom w:w="0" w:type="dxa"/>
            </w:tcMar>
            <w:tcW w:w="3004" w:type="dxa"/>
            <w:vAlign w:val="center"/>
            <w:textDirection w:val="lrTb"/>
            <w:noWrap w:val="false"/>
          </w:tcPr>
          <w:p>
            <w:pPr>
              <w:ind w:left="16"/>
              <w:spacing w:before="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投标总报价（大写）</w:t>
            </w:r>
            <w:r/>
          </w:p>
        </w:tc>
        <w:tc>
          <w:tcPr>
            <w:gridSpan w:val="3"/>
            <w:tcMar>
              <w:left w:w="0" w:type="dxa"/>
              <w:top w:w="0" w:type="dxa"/>
              <w:right w:w="0" w:type="dxa"/>
              <w:bottom w:w="0" w:type="dxa"/>
            </w:tcMar>
            <w:tcW w:w="6076" w:type="dxa"/>
            <w:vAlign w:val="center"/>
            <w:textDirection w:val="lrTb"/>
            <w:noWrap w:val="false"/>
          </w:tcPr>
          <w:p>
            <w:pPr>
              <w:ind w:left="1094"/>
              <w:spacing w:before="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（人民币）¥：              元</w:t>
            </w:r>
            <w:r/>
          </w:p>
        </w:tc>
      </w:tr>
    </w:tbl>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right"/>
        <w:spacing w:before="240" w:after="24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日期：     年     月     日</w:t>
      </w:r>
      <w:r/>
    </w:p>
    <w:p>
      <w:pPr>
        <w:spacing w:before="240" w:after="24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p>
    <w:p>
      <w:pPr>
        <w:spacing w:line="360" w:lineRule="auto"/>
        <w:rPr>
          <w:rFonts w:hint="eastAsia" w:ascii="宋体" w:hAnsi="宋体" w:cs="宋体"/>
          <w:i/>
          <w:iCs/>
          <w:color w:val="000000"/>
          <w:sz w:val="24"/>
          <w:highlight w:val="none"/>
          <w:u w:val="single"/>
        </w:rPr>
        <w:pBdr>
          <w:top w:val="none" w:color="000000" w:sz="0" w:space="0"/>
          <w:left w:val="none" w:color="000000" w:sz="0" w:space="0"/>
          <w:bottom w:val="none" w:color="000000" w:sz="0" w:space="0"/>
          <w:right w:val="none" w:color="000000" w:sz="0" w:space="0"/>
        </w:pBdr>
      </w:pPr>
      <w:r/>
      <w:bookmarkStart w:id="179" w:name="_Toc24830"/>
      <w:r>
        <w:rPr>
          <w:rFonts w:hint="eastAsia" w:ascii="宋体" w:hAnsi="宋体" w:cs="宋体"/>
          <w:i/>
          <w:iCs/>
          <w:color w:val="000000"/>
          <w:sz w:val="24"/>
          <w:highlight w:val="none"/>
          <w:u w:val="single"/>
        </w:rPr>
        <w:t xml:space="preserve">1.开标一览表必须加盖投标人公章（复印件无效）。</w:t>
      </w:r>
      <w:bookmarkEnd w:id="179"/>
      <w:r/>
      <w:r/>
    </w:p>
    <w:p>
      <w:pPr>
        <w:spacing w:line="360" w:lineRule="auto"/>
        <w:rPr>
          <w:rFonts w:hint="eastAsia" w:ascii="宋体" w:hAnsi="宋体" w:cs="宋体"/>
          <w:i/>
          <w:iCs/>
          <w:color w:val="000000"/>
          <w:sz w:val="24"/>
          <w:highlight w:val="none"/>
          <w:u w:val="single"/>
        </w:rPr>
        <w:pBdr>
          <w:top w:val="none" w:color="000000" w:sz="0" w:space="0"/>
          <w:left w:val="none" w:color="000000" w:sz="0" w:space="0"/>
          <w:bottom w:val="none" w:color="000000" w:sz="0" w:space="0"/>
          <w:right w:val="none" w:color="000000" w:sz="0" w:space="0"/>
        </w:pBdr>
      </w:pPr>
      <w:r/>
      <w:bookmarkStart w:id="180" w:name="_Toc30436"/>
      <w:r>
        <w:rPr>
          <w:rFonts w:hint="eastAsia" w:ascii="宋体" w:hAnsi="宋体" w:cs="宋体"/>
          <w:i/>
          <w:iCs/>
          <w:color w:val="000000"/>
          <w:sz w:val="24"/>
          <w:highlight w:val="none"/>
          <w:u w:val="single"/>
        </w:rPr>
        <w:t xml:space="preserve">2.如有分包，投标人投任何一个包的标的，都需单独填写开标一览表。</w:t>
      </w:r>
      <w:bookmarkEnd w:id="180"/>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pStyle w:val="748"/>
        <w:rPr>
          <w:color w:val="000000"/>
          <w:highlight w:val="none"/>
        </w:rPr>
        <w:pBdr>
          <w:top w:val="none" w:color="000000" w:sz="0" w:space="0"/>
          <w:left w:val="none" w:color="000000" w:sz="0" w:space="0"/>
          <w:bottom w:val="none" w:color="000000" w:sz="0" w:space="0"/>
          <w:right w:val="none" w:color="000000" w:sz="0" w:space="0"/>
        </w:pBdr>
      </w:pPr>
      <w:r/>
      <w:bookmarkStart w:id="181" w:name="_Toc23281"/>
      <w:r/>
      <w:bookmarkStart w:id="182" w:name="_Toc31328"/>
      <w:r/>
      <w:bookmarkStart w:id="183" w:name="_Toc20972"/>
      <w:r>
        <w:rPr>
          <w:rFonts w:hint="eastAsia"/>
          <w:color w:val="000000"/>
          <w:highlight w:val="none"/>
        </w:rPr>
        <w:t xml:space="preserve">四、</w:t>
      </w:r>
      <w:bookmarkEnd w:id="181"/>
      <w:r/>
      <w:bookmarkEnd w:id="182"/>
      <w:r>
        <w:rPr>
          <w:rFonts w:hint="eastAsia"/>
          <w:color w:val="000000"/>
          <w:highlight w:val="none"/>
        </w:rPr>
        <w:t xml:space="preserve">分项报价表</w:t>
      </w:r>
      <w:bookmarkEnd w:id="183"/>
      <w:r/>
      <w:r/>
    </w:p>
    <w:p>
      <w:pPr>
        <w:rPr>
          <w:rFonts w:cs="宋体"/>
          <w:highlight w:val="none"/>
        </w:rPr>
      </w:pPr>
      <w:r>
        <w:rPr>
          <w:rFonts w:cs="宋体"/>
          <w:highlight w:val="none"/>
        </w:rPr>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格式自拟，此表的合计金额应与开标一览表相符，如有不符，以开标一览表为准</w:t>
      </w:r>
      <w:r/>
    </w:p>
    <w:p>
      <w:pPr>
        <w:spacing w:before="240" w:after="24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spacing w:before="240" w:after="24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spacing w:before="240" w:after="24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spacing w:before="240" w:after="24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spacing w:before="240" w:after="24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spacing w:before="240" w:after="24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spacing w:before="240" w:after="24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2400"/>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投标单位全称（加盖公章）：</w:t>
      </w:r>
      <w:r>
        <w:rPr>
          <w:rFonts w:hint="eastAsia" w:ascii="宋体" w:hAnsi="宋体" w:cs="宋体"/>
          <w:color w:val="000000"/>
          <w:sz w:val="24"/>
          <w:highlight w:val="none"/>
          <w:u w:val="single"/>
        </w:rPr>
        <w:t xml:space="preserve">                            </w:t>
      </w:r>
      <w:r/>
    </w:p>
    <w:p>
      <w:pPr>
        <w:jc w:val="right"/>
        <w:spacing w:before="240" w:after="24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日期：     年     月     日</w:t>
      </w:r>
      <w:r/>
    </w:p>
    <w:p>
      <w:pPr>
        <w:rPr>
          <w:rFonts w:hint="eastAsia" w:ascii="宋体" w:hAnsi="宋体" w:cs="宋体"/>
          <w:color w:val="000000"/>
          <w:highlight w:val="none"/>
        </w:rPr>
      </w:pPr>
      <w:r>
        <w:rPr>
          <w:rFonts w:hint="eastAsia" w:ascii="宋体" w:hAnsi="宋体" w:cs="宋体"/>
          <w:color w:val="000000"/>
          <w:highlight w:val="none"/>
        </w:rPr>
        <w:br w:type="page" w:clear="all"/>
      </w:r>
      <w:r/>
    </w:p>
    <w:p>
      <w:pPr>
        <w:pStyle w:val="748"/>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84" w:name="_Toc978"/>
      <w:r>
        <w:rPr>
          <w:rFonts w:hint="eastAsia" w:ascii="宋体" w:hAnsi="宋体" w:cs="宋体"/>
          <w:color w:val="000000"/>
          <w:highlight w:val="none"/>
        </w:rPr>
        <w:t xml:space="preserve">五、资格证明文件</w:t>
      </w:r>
      <w:bookmarkEnd w:id="184"/>
      <w:r/>
      <w:r/>
    </w:p>
    <w:p>
      <w:pPr>
        <w:pStyle w:val="1024"/>
        <w:numPr>
          <w:ilvl w:val="0"/>
          <w:numId w:val="0"/>
        </w:numPr>
        <w:spacing w:line="400" w:lineRule="exact"/>
        <w:rPr>
          <w:rFonts w:hint="eastAsia" w:cs="宋体"/>
          <w:b/>
          <w:bCs/>
          <w:i/>
          <w:sz w:val="24"/>
          <w:szCs w:val="24"/>
          <w:highlight w:val="none"/>
          <w:u w:val="single"/>
        </w:rPr>
      </w:pPr>
      <w:r>
        <w:rPr>
          <w:rFonts w:hint="eastAsia" w:cs="宋体"/>
          <w:b/>
          <w:bCs/>
          <w:i/>
          <w:sz w:val="24"/>
          <w:szCs w:val="24"/>
          <w:highlight w:val="none"/>
          <w:u w:val="single"/>
        </w:rPr>
        <w:t xml:space="preserve">投标人必须在投标文件提交截止时间之前递交以下资格证明文件：</w:t>
      </w:r>
      <w:r/>
    </w:p>
    <w:p>
      <w:pPr>
        <w:pStyle w:val="1024"/>
        <w:numPr>
          <w:ilvl w:val="0"/>
          <w:numId w:val="0"/>
        </w:numPr>
        <w:ind w:left="105" w:firstLine="480"/>
        <w:spacing w:line="440" w:lineRule="exact"/>
        <w:rPr>
          <w:rFonts w:hint="eastAsia" w:cs="宋体"/>
          <w:bCs/>
          <w:i/>
          <w:sz w:val="24"/>
          <w:szCs w:val="24"/>
          <w:highlight w:val="none"/>
          <w:u w:val="single"/>
        </w:rPr>
      </w:pPr>
      <w:r>
        <w:rPr>
          <w:rFonts w:hint="eastAsia" w:cs="宋体"/>
          <w:bCs/>
          <w:i/>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24"/>
        <w:numPr>
          <w:ilvl w:val="0"/>
          <w:numId w:val="0"/>
        </w:numPr>
        <w:ind w:left="105" w:firstLine="480"/>
        <w:spacing w:line="440" w:lineRule="exact"/>
        <w:rPr>
          <w:rFonts w:hint="eastAsia" w:cs="宋体"/>
          <w:bCs/>
          <w:i/>
          <w:sz w:val="24"/>
          <w:szCs w:val="24"/>
          <w:highlight w:val="none"/>
          <w:u w:val="single"/>
        </w:rPr>
      </w:pPr>
      <w:r>
        <w:rPr>
          <w:rFonts w:hint="eastAsia" w:cs="宋体"/>
          <w:bCs/>
          <w:i/>
          <w:sz w:val="24"/>
          <w:szCs w:val="24"/>
          <w:highlight w:val="none"/>
          <w:u w:val="single"/>
        </w:rPr>
        <w:t xml:space="preserve">2、财务状况报告（成立不满一年不需要提供）；</w:t>
      </w:r>
      <w:r/>
    </w:p>
    <w:p>
      <w:pPr>
        <w:pStyle w:val="1024"/>
        <w:numPr>
          <w:ilvl w:val="0"/>
          <w:numId w:val="0"/>
        </w:numPr>
        <w:ind w:left="105" w:firstLine="480"/>
        <w:spacing w:line="440" w:lineRule="exact"/>
        <w:rPr>
          <w:rFonts w:hint="eastAsia" w:cs="宋体"/>
          <w:bCs/>
          <w:i/>
          <w:sz w:val="24"/>
          <w:szCs w:val="24"/>
          <w:highlight w:val="none"/>
          <w:u w:val="single"/>
        </w:rPr>
      </w:pPr>
      <w:r>
        <w:rPr>
          <w:rFonts w:hint="eastAsia" w:cs="宋体"/>
          <w:bCs/>
          <w:i/>
          <w:sz w:val="24"/>
          <w:szCs w:val="24"/>
          <w:highlight w:val="none"/>
          <w:u w:val="single"/>
        </w:rPr>
        <w:t xml:space="preserve">3、依法缴纳税收和社会保障资金的相关材料（如依法享受缓缴、免缴税收、社会保障资金的，应提供相关证明材料）；</w:t>
      </w:r>
      <w:r/>
    </w:p>
    <w:p>
      <w:pPr>
        <w:pStyle w:val="1024"/>
        <w:numPr>
          <w:ilvl w:val="0"/>
          <w:numId w:val="0"/>
        </w:numPr>
        <w:ind w:left="105" w:firstLine="480"/>
        <w:spacing w:line="440" w:lineRule="exact"/>
        <w:rPr>
          <w:rFonts w:hint="eastAsia" w:cs="宋体"/>
          <w:bCs/>
          <w:i/>
          <w:sz w:val="24"/>
          <w:szCs w:val="24"/>
          <w:highlight w:val="none"/>
          <w:u w:val="single"/>
        </w:rPr>
      </w:pPr>
      <w:r>
        <w:rPr>
          <w:rFonts w:hint="eastAsia" w:cs="宋体"/>
          <w:bCs/>
          <w:i/>
          <w:sz w:val="24"/>
          <w:szCs w:val="24"/>
          <w:highlight w:val="none"/>
          <w:u w:val="single"/>
        </w:rPr>
        <w:t xml:space="preserve">4、具备履行合同所必需的设备和专业技术能力的书面声明（格式见后）；</w:t>
      </w:r>
      <w:r/>
    </w:p>
    <w:p>
      <w:pPr>
        <w:pStyle w:val="1024"/>
        <w:numPr>
          <w:ilvl w:val="0"/>
          <w:numId w:val="0"/>
        </w:numPr>
        <w:ind w:firstLine="600"/>
        <w:spacing w:line="440" w:lineRule="exact"/>
        <w:rPr>
          <w:rFonts w:hint="eastAsia" w:cs="宋体"/>
          <w:bCs/>
          <w:i/>
          <w:sz w:val="24"/>
          <w:szCs w:val="24"/>
          <w:highlight w:val="none"/>
          <w:u w:val="single"/>
        </w:rPr>
      </w:pPr>
      <w:r>
        <w:rPr>
          <w:rFonts w:hint="eastAsia" w:cs="宋体"/>
          <w:bCs/>
          <w:i/>
          <w:sz w:val="24"/>
          <w:szCs w:val="24"/>
          <w:highlight w:val="none"/>
          <w:u w:val="single"/>
        </w:rPr>
        <w:t xml:space="preserve">5、参加政府采购活动前3年内在经营活动中没有重大违法记录的书面声明（格式见后）；</w:t>
      </w:r>
      <w:r/>
    </w:p>
    <w:p>
      <w:pPr>
        <w:pStyle w:val="1024"/>
        <w:numPr>
          <w:ilvl w:val="0"/>
          <w:numId w:val="0"/>
        </w:numPr>
        <w:ind w:firstLine="600"/>
        <w:spacing w:line="440" w:lineRule="exact"/>
        <w:rPr>
          <w:rFonts w:hint="eastAsia" w:cs="宋体"/>
          <w:bCs/>
          <w:i/>
          <w:sz w:val="24"/>
          <w:szCs w:val="24"/>
          <w:highlight w:val="none"/>
          <w:u w:val="single"/>
        </w:rPr>
      </w:pPr>
      <w:r>
        <w:rPr>
          <w:rFonts w:hint="eastAsia" w:cs="宋体"/>
          <w:bCs/>
          <w:i/>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1024"/>
        <w:numPr>
          <w:ilvl w:val="0"/>
          <w:numId w:val="0"/>
        </w:numPr>
        <w:ind w:left="105" w:firstLine="480"/>
        <w:spacing w:line="440" w:lineRule="exact"/>
        <w:rPr>
          <w:rFonts w:hint="eastAsia" w:cs="宋体"/>
          <w:bCs/>
          <w:i/>
          <w:sz w:val="24"/>
          <w:szCs w:val="24"/>
          <w:highlight w:val="none"/>
          <w:u w:val="single"/>
        </w:rPr>
      </w:pPr>
      <w:r>
        <w:rPr>
          <w:rFonts w:hint="eastAsia" w:cs="宋体"/>
          <w:bCs/>
          <w:i/>
          <w:sz w:val="24"/>
          <w:szCs w:val="24"/>
          <w:highlight w:val="none"/>
          <w:u w:val="single"/>
        </w:rPr>
        <w:t xml:space="preserve">7、关于资格证明文件的书面承诺（格式见后）；</w:t>
      </w:r>
      <w:r/>
    </w:p>
    <w:p>
      <w:pPr>
        <w:pStyle w:val="1024"/>
        <w:numPr>
          <w:ilvl w:val="0"/>
          <w:numId w:val="0"/>
        </w:numPr>
        <w:ind w:left="105" w:firstLine="480"/>
        <w:spacing w:line="440" w:lineRule="exact"/>
        <w:rPr>
          <w:rFonts w:hint="eastAsia" w:cs="宋体"/>
          <w:bCs/>
          <w:i/>
          <w:sz w:val="24"/>
          <w:szCs w:val="24"/>
          <w:highlight w:val="none"/>
          <w:u w:val="single"/>
        </w:rPr>
      </w:pPr>
      <w:r>
        <w:rPr>
          <w:rFonts w:hint="eastAsia" w:cs="宋体"/>
          <w:bCs/>
          <w:i/>
          <w:sz w:val="24"/>
          <w:szCs w:val="24"/>
          <w:highlight w:val="none"/>
          <w:u w:val="single"/>
        </w:rPr>
        <w:t xml:space="preserve">8、中小企业声明函等（格式见后）。</w:t>
      </w:r>
      <w:r/>
    </w:p>
    <w:p>
      <w:pPr>
        <w:rPr>
          <w:rFonts w:hint="eastAsia" w:ascii="宋体" w:hAnsi="宋体" w:cs="宋体"/>
          <w:color w:val="000000"/>
          <w:sz w:val="28"/>
          <w:highlight w:val="none"/>
        </w:rPr>
      </w:pPr>
      <w:r>
        <w:rPr>
          <w:rFonts w:hint="eastAsia" w:ascii="宋体" w:hAnsi="宋体" w:cs="宋体"/>
          <w:color w:val="000000"/>
          <w:sz w:val="28"/>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rPr>
        <w:t xml:space="preserve">法人或者其他组织的营业执照等证明文件，自然人的身份证明</w:t>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法人或者其他组织的营业执照等证明文件，自然人的身份证明</w:t>
      </w:r>
      <w:r/>
    </w:p>
    <w:tbl>
      <w:tblPr>
        <w:tblStyle w:val="7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6195"/>
        <w:gridCol w:w="1515"/>
      </w:tblGrid>
      <w:tr>
        <w:trPr/>
        <w:tc>
          <w:tcPr>
            <w:tcMar>
              <w:left w:w="0" w:type="dxa"/>
              <w:top w:w="0" w:type="dxa"/>
              <w:right w:w="0" w:type="dxa"/>
              <w:bottom w:w="0" w:type="dxa"/>
            </w:tcMar>
            <w:tcW w:w="1215" w:type="dxa"/>
            <w:vAlign w:val="center"/>
            <w:textDirection w:val="lrTb"/>
            <w:noWrap w:val="false"/>
          </w:tcPr>
          <w:p>
            <w:pPr>
              <w:jc w:val="cente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序号</w:t>
            </w:r>
            <w:r/>
          </w:p>
        </w:tc>
        <w:tc>
          <w:tcPr>
            <w:tcMar>
              <w:left w:w="0" w:type="dxa"/>
              <w:top w:w="0" w:type="dxa"/>
              <w:right w:w="0" w:type="dxa"/>
              <w:bottom w:w="0" w:type="dxa"/>
            </w:tcMar>
            <w:tcW w:w="6195" w:type="dxa"/>
            <w:vAlign w:val="center"/>
            <w:textDirection w:val="lrTb"/>
            <w:noWrap w:val="false"/>
          </w:tcPr>
          <w:p>
            <w:pPr>
              <w:jc w:val="cente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证书名称</w:t>
            </w:r>
            <w:r/>
          </w:p>
        </w:tc>
        <w:tc>
          <w:tcPr>
            <w:tcMar>
              <w:left w:w="0" w:type="dxa"/>
              <w:top w:w="0" w:type="dxa"/>
              <w:right w:w="0" w:type="dxa"/>
              <w:bottom w:w="0" w:type="dxa"/>
            </w:tcMar>
            <w:tcW w:w="1515" w:type="dxa"/>
            <w:vAlign w:val="center"/>
            <w:textDirection w:val="lrTb"/>
            <w:noWrap w:val="false"/>
          </w:tcPr>
          <w:p>
            <w:pPr>
              <w:jc w:val="cente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查看</w:t>
            </w:r>
            <w:r/>
          </w:p>
        </w:tc>
      </w:tr>
      <w:tr>
        <w:trPr/>
        <w:tc>
          <w:tcPr>
            <w:tcMar>
              <w:left w:w="0" w:type="dxa"/>
              <w:top w:w="0" w:type="dxa"/>
              <w:right w:w="0" w:type="dxa"/>
              <w:bottom w:w="0" w:type="dxa"/>
            </w:tcMar>
            <w:tcW w:w="1215" w:type="dxa"/>
            <w:vAlign w:val="center"/>
            <w:textDirection w:val="lrTb"/>
            <w:noWrap w:val="false"/>
          </w:tcPr>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6195" w:type="dxa"/>
            <w:vAlign w:val="center"/>
            <w:textDirection w:val="lrTb"/>
            <w:noWrap w:val="false"/>
          </w:tcPr>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1515" w:type="dxa"/>
            <w:vAlign w:val="center"/>
            <w:textDirection w:val="lrTb"/>
            <w:noWrap w:val="false"/>
          </w:tcPr>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r>
    </w:tbl>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若投标人为分公司，则还须提供总公司同意其独立开展业务的授权，其中银行、保险、石油石化、电力、电信、邮政、铁路等特殊行业，可提供总公司有关文件或制度等能够证明总公司授权其独立开展业务的证明材料。</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rPr>
        <w:t xml:space="preserve">财务状况报告（成立不满一年不需要提供）</w:t>
      </w:r>
      <w:r/>
    </w:p>
    <w:p>
      <w:pPr>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近年财务状况表</w:t>
      </w:r>
      <w:r/>
    </w:p>
    <w:tbl>
      <w:tblPr>
        <w:tblStyle w:val="7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5"/>
        <w:gridCol w:w="4965"/>
        <w:gridCol w:w="2145"/>
      </w:tblGrid>
      <w:tr>
        <w:trPr>
          <w:trHeight w:val="567"/>
        </w:trPr>
        <w:tc>
          <w:tcPr>
            <w:tcMar>
              <w:left w:w="0" w:type="dxa"/>
              <w:top w:w="0" w:type="dxa"/>
              <w:right w:w="0" w:type="dxa"/>
              <w:bottom w:w="0" w:type="dxa"/>
            </w:tcMar>
            <w:tcW w:w="1815"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年度</w:t>
            </w:r>
            <w:r/>
          </w:p>
        </w:tc>
        <w:tc>
          <w:tcPr>
            <w:tcMar>
              <w:left w:w="0" w:type="dxa"/>
              <w:top w:w="0" w:type="dxa"/>
              <w:right w:w="0" w:type="dxa"/>
              <w:bottom w:w="0" w:type="dxa"/>
            </w:tcMar>
            <w:tcW w:w="4965"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p>
        </w:tc>
        <w:tc>
          <w:tcPr>
            <w:tcMar>
              <w:left w:w="0" w:type="dxa"/>
              <w:top w:w="0" w:type="dxa"/>
              <w:right w:w="0" w:type="dxa"/>
              <w:bottom w:w="0" w:type="dxa"/>
            </w:tcMar>
            <w:tcW w:w="2145"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查看</w:t>
            </w:r>
            <w:r/>
          </w:p>
        </w:tc>
      </w:tr>
      <w:tr>
        <w:trPr>
          <w:trHeight w:val="567"/>
        </w:trPr>
        <w:tc>
          <w:tcPr>
            <w:tcMar>
              <w:left w:w="0" w:type="dxa"/>
              <w:top w:w="0" w:type="dxa"/>
              <w:right w:w="0" w:type="dxa"/>
              <w:bottom w:w="0" w:type="dxa"/>
            </w:tcMar>
            <w:tcW w:w="1815" w:type="dxa"/>
            <w:vAlign w:val="center"/>
            <w:textDirection w:val="lrTb"/>
            <w:noWrap w:val="false"/>
          </w:tcPr>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4965" w:type="dxa"/>
            <w:vAlign w:val="center"/>
            <w:textDirection w:val="lrTb"/>
            <w:noWrap w:val="false"/>
          </w:tcPr>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2145" w:type="dxa"/>
            <w:vAlign w:val="center"/>
            <w:textDirection w:val="lrTb"/>
            <w:noWrap w:val="false"/>
          </w:tcPr>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r>
    </w:tbl>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rPr>
        <w:t xml:space="preserve">依法缴纳税收和社会保障资金的相关材料</w:t>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依法缴纳税收和社会保障资金的相关材料（如依法享受缓缴、免缴税收、社会保障资金的，应提供相关证明材料）</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rPr>
        <w:t xml:space="preserve">具备履行合同所必需的设备和专业技术能力的书面声明</w:t>
      </w:r>
      <w:r/>
    </w:p>
    <w:p>
      <w:pPr>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具备履行合同所必需的设备和专业技术能力的书面声明</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320" w:after="3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我单位郑重声明：我单位具备履行本项采购合同所必需的设备和专业技术能力。</w:t>
      </w:r>
      <w:r/>
    </w:p>
    <w:p>
      <w:pPr>
        <w:spacing w:before="360" w:after="36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360" w:after="36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before="360" w:after="36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10" w:after="21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投标单位（加盖公章）：</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rPr>
        <w:t xml:space="preserve">参加政府采购活动前3年内在经营活动中没有重大违法记录的书面声明</w:t>
      </w:r>
      <w:r/>
    </w:p>
    <w:p>
      <w:pPr>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before="120" w:after="120"/>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参加政府采购活动前3年内在经营活动中没有重大违法记录的书面声明</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320" w:after="3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firstLine="480"/>
        <w:spacing w:before="240" w:after="240"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pStyle w:val="789"/>
        <w:ind w:firstLine="0"/>
        <w:rPr>
          <w:rFonts w:hint="eastAsia" w:cs="宋体"/>
          <w:highlight w:val="none"/>
        </w:rPr>
      </w:pPr>
      <w:r>
        <w:rPr>
          <w:rFonts w:hint="eastAsia" w:cs="宋体"/>
          <w:highlight w:val="none"/>
        </w:rPr>
      </w:r>
      <w:r/>
    </w:p>
    <w:p>
      <w:pPr>
        <w:pStyle w:val="789"/>
        <w:ind w:firstLine="0"/>
        <w:rPr>
          <w:rFonts w:hint="eastAsia" w:cs="宋体"/>
          <w:highlight w:val="none"/>
        </w:rPr>
      </w:pPr>
      <w:r>
        <w:rPr>
          <w:rFonts w:hint="eastAsia" w:cs="宋体"/>
          <w:highlight w:val="none"/>
        </w:rPr>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投标单位（加盖公章）：</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rPr>
        <w:t xml:space="preserve">提供授权委托书（被授权人非法定代表人的，应提供授权委托书；被授权人是法定代表人的，应提供授权委托书或法定代表人身份证明书）</w:t>
      </w:r>
      <w:r/>
    </w:p>
    <w:p>
      <w:pPr>
        <w:pStyle w:val="985"/>
        <w:jc w:val="center"/>
        <w:spacing w:before="240" w:after="240"/>
        <w:rPr>
          <w:rStyle w:val="1020"/>
          <w:rFonts w:hint="eastAsia" w:ascii="宋体" w:hAnsi="宋体" w:cs="宋体"/>
          <w:b/>
          <w:bCs/>
          <w:sz w:val="32"/>
          <w:szCs w:val="32"/>
          <w:highlight w:val="none"/>
        </w:rPr>
      </w:pPr>
      <w:r>
        <w:rPr>
          <w:rStyle w:val="1020"/>
          <w:rFonts w:hint="eastAsia" w:ascii="宋体" w:hAnsi="宋体" w:cs="宋体"/>
          <w:b/>
          <w:bCs/>
          <w:sz w:val="32"/>
          <w:szCs w:val="32"/>
          <w:highlight w:val="none"/>
        </w:rPr>
        <w:t xml:space="preserve">1、授权委托书</w:t>
      </w:r>
      <w:r/>
    </w:p>
    <w:p>
      <w:pPr>
        <w:pStyle w:val="985"/>
        <w:ind w:firstLine="500"/>
        <w:spacing w:before="240" w:after="240"/>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本授权书声明：</w:t>
      </w:r>
      <w:r>
        <w:rPr>
          <w:rStyle w:val="1020"/>
          <w:rFonts w:hint="eastAsia" w:ascii="宋体" w:hAnsi="宋体" w:cs="宋体"/>
          <w:sz w:val="24"/>
          <w:szCs w:val="24"/>
          <w:highlight w:val="none"/>
          <w:u w:val="single"/>
        </w:rPr>
        <w:t xml:space="preserve">                </w:t>
      </w:r>
      <w:r>
        <w:rPr>
          <w:rStyle w:val="1020"/>
          <w:rFonts w:hint="eastAsia" w:ascii="宋体" w:hAnsi="宋体" w:cs="宋体"/>
          <w:sz w:val="24"/>
          <w:szCs w:val="24"/>
          <w:highlight w:val="none"/>
        </w:rPr>
        <w:t xml:space="preserve">（供应商名称）授权</w:t>
      </w:r>
      <w:bookmarkStart w:id="185" w:name="sys_STR"/>
      <w:r/>
      <w:bookmarkEnd w:id="185"/>
      <w:r>
        <w:rPr>
          <w:rStyle w:val="1020"/>
          <w:rFonts w:hint="eastAsia" w:ascii="宋体" w:hAnsi="宋体" w:cs="宋体"/>
          <w:sz w:val="24"/>
          <w:szCs w:val="24"/>
          <w:highlight w:val="none"/>
          <w:u w:val="single"/>
        </w:rPr>
        <w:t xml:space="preserve">        </w:t>
      </w:r>
      <w:r>
        <w:rPr>
          <w:rStyle w:val="1020"/>
          <w:rFonts w:hint="eastAsia" w:ascii="宋体" w:hAnsi="宋体" w:cs="宋体"/>
          <w:sz w:val="24"/>
          <w:szCs w:val="24"/>
          <w:highlight w:val="none"/>
        </w:rPr>
        <w:t xml:space="preserve">(被授权人的姓名)（被授权人身份证号码</w:t>
      </w:r>
      <w:r>
        <w:rPr>
          <w:rStyle w:val="1020"/>
          <w:rFonts w:hint="eastAsia" w:ascii="宋体" w:hAnsi="宋体" w:cs="宋体"/>
          <w:sz w:val="24"/>
          <w:szCs w:val="24"/>
          <w:highlight w:val="none"/>
          <w:u w:val="single"/>
        </w:rPr>
        <w:t xml:space="preserve">：         </w:t>
      </w:r>
      <w:r>
        <w:rPr>
          <w:rStyle w:val="1020"/>
          <w:rFonts w:hint="eastAsia" w:ascii="宋体" w:hAnsi="宋体" w:cs="宋体"/>
          <w:sz w:val="24"/>
          <w:szCs w:val="24"/>
          <w:highlight w:val="none"/>
        </w:rPr>
        <w:t xml:space="preserve">）为我方就</w:t>
      </w:r>
      <w:r>
        <w:rPr>
          <w:rStyle w:val="1020"/>
          <w:rFonts w:hint="eastAsia" w:ascii="宋体" w:hAnsi="宋体" w:cs="宋体"/>
          <w:sz w:val="24"/>
          <w:szCs w:val="24"/>
          <w:highlight w:val="none"/>
          <w:u w:val="single"/>
        </w:rPr>
        <w:t xml:space="preserve">              （项目编号：     ）</w:t>
      </w:r>
      <w:r>
        <w:rPr>
          <w:rStyle w:val="1020"/>
          <w:rFonts w:hint="eastAsia" w:ascii="宋体" w:hAnsi="宋体" w:cs="宋体"/>
          <w:sz w:val="24"/>
          <w:szCs w:val="24"/>
          <w:highlight w:val="none"/>
        </w:rPr>
        <w:t xml:space="preserve">项目采购活动的合法代理人，以本单位名义全权处理一切与该项目采购有关的事务，其代表本单位处理相关事项所产生的一切责任由本单位承担。</w:t>
      </w:r>
      <w:r/>
    </w:p>
    <w:p>
      <w:pPr>
        <w:pStyle w:val="985"/>
        <w:ind w:firstLine="500"/>
        <w:spacing w:before="240" w:after="240"/>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本授权书于</w:t>
      </w:r>
      <w:r>
        <w:rPr>
          <w:rStyle w:val="1020"/>
          <w:rFonts w:hint="eastAsia" w:ascii="宋体" w:hAnsi="宋体" w:cs="宋体"/>
          <w:sz w:val="24"/>
          <w:szCs w:val="24"/>
          <w:highlight w:val="none"/>
          <w:u w:val="single"/>
        </w:rPr>
        <w:t xml:space="preserve">    年    月    日</w:t>
      </w:r>
      <w:r>
        <w:rPr>
          <w:rStyle w:val="1020"/>
          <w:rFonts w:hint="eastAsia" w:ascii="宋体" w:hAnsi="宋体" w:cs="宋体"/>
          <w:sz w:val="24"/>
          <w:szCs w:val="24"/>
          <w:highlight w:val="none"/>
        </w:rPr>
        <w:t xml:space="preserve">起生效，特此声明。</w:t>
      </w:r>
      <w:r/>
    </w:p>
    <w:p>
      <w:pPr>
        <w:pStyle w:val="985"/>
        <w:spacing w:before="240" w:after="240"/>
        <w:rPr>
          <w:rStyle w:val="1020"/>
          <w:rFonts w:hint="eastAsia" w:ascii="宋体" w:hAnsi="宋体" w:cs="宋体"/>
          <w:sz w:val="24"/>
          <w:szCs w:val="24"/>
          <w:highlight w:val="none"/>
        </w:rPr>
      </w:pPr>
      <w:r>
        <w:rPr>
          <w:rFonts w:hint="eastAsia" w:ascii="宋体" w:hAnsi="宋体" w:cs="宋体"/>
          <w:sz w:val="24"/>
          <w:szCs w:val="24"/>
          <w:highlight w:val="none"/>
        </w:rPr>
      </w:r>
      <w:r/>
    </w:p>
    <w:p>
      <w:pPr>
        <w:pStyle w:val="985"/>
        <w:ind w:firstLine="3570"/>
        <w:spacing w:before="240" w:after="240"/>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被授权人联系电话：（手机）</w:t>
      </w:r>
      <w:r/>
    </w:p>
    <w:p>
      <w:pPr>
        <w:pStyle w:val="985"/>
        <w:ind w:firstLine="3570"/>
        <w:spacing w:before="240" w:after="240"/>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授权单位名称：（加盖公章）</w:t>
      </w:r>
      <w:r/>
    </w:p>
    <w:p>
      <w:pPr>
        <w:pStyle w:val="985"/>
        <w:ind w:firstLine="3570"/>
        <w:spacing w:before="240" w:after="240"/>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单位地址：</w:t>
      </w:r>
      <w:r/>
    </w:p>
    <w:p>
      <w:pPr>
        <w:pStyle w:val="985"/>
        <w:ind w:firstLine="3600"/>
        <w:spacing w:before="240" w:after="240"/>
        <w:rPr>
          <w:rFonts w:hint="eastAsia" w:ascii="宋体" w:hAnsi="宋体" w:eastAsia="宋体" w:cs="宋体"/>
          <w:highlight w:val="none"/>
        </w:rPr>
      </w:pPr>
      <w:r>
        <w:rPr>
          <w:rStyle w:val="1020"/>
          <w:rFonts w:hint="eastAsia" w:ascii="宋体" w:hAnsi="宋体" w:cs="宋体"/>
          <w:sz w:val="24"/>
          <w:szCs w:val="24"/>
          <w:highlight w:val="none"/>
        </w:rPr>
        <w:t xml:space="preserve">日期：     年   月   日</w:t>
      </w:r>
      <w:r/>
    </w:p>
    <w:p>
      <w:pPr>
        <w:jc w:val="left"/>
        <w:widowControl/>
        <w:rPr>
          <w:rFonts w:hint="eastAsia" w:ascii="宋体" w:hAnsi="宋体" w:cs="宋体"/>
          <w:szCs w:val="21"/>
          <w:highlight w:val="none"/>
        </w:rPr>
      </w:pPr>
      <w:r>
        <w:rPr>
          <w:rFonts w:hint="eastAsia" w:ascii="宋体" w:hAnsi="宋体" w:cs="宋体"/>
          <w:szCs w:val="21"/>
          <w:highlight w:val="none"/>
        </w:rPr>
      </w:r>
      <w:r/>
    </w:p>
    <w:p>
      <w:pPr>
        <w:pStyle w:val="985"/>
        <w:jc w:val="center"/>
        <w:spacing w:before="240" w:after="240"/>
        <w:rPr>
          <w:rStyle w:val="1020"/>
          <w:rFonts w:hint="eastAsia" w:ascii="宋体" w:hAnsi="宋体" w:cs="宋体"/>
          <w:highlight w:val="none"/>
        </w:rPr>
      </w:pPr>
      <w:r>
        <w:rPr>
          <w:rStyle w:val="1020"/>
          <w:rFonts w:hint="eastAsia" w:ascii="宋体" w:hAnsi="宋体" w:cs="宋体"/>
          <w:b/>
          <w:bCs/>
          <w:sz w:val="32"/>
          <w:szCs w:val="32"/>
          <w:highlight w:val="none"/>
        </w:rPr>
        <w:t xml:space="preserve">2、法定代表人身份证明书</w:t>
      </w:r>
      <w:r/>
    </w:p>
    <w:p>
      <w:pPr>
        <w:pStyle w:val="985"/>
        <w:ind w:firstLine="500"/>
        <w:spacing w:before="240" w:after="240"/>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兹证明</w:t>
      </w:r>
      <w:r>
        <w:rPr>
          <w:rStyle w:val="1020"/>
          <w:rFonts w:hint="eastAsia" w:ascii="宋体" w:hAnsi="宋体" w:cs="宋体"/>
          <w:sz w:val="24"/>
          <w:szCs w:val="24"/>
          <w:highlight w:val="none"/>
          <w:u w:val="single"/>
        </w:rPr>
        <w:t xml:space="preserve">              </w:t>
      </w:r>
      <w:r>
        <w:rPr>
          <w:rStyle w:val="1020"/>
          <w:rFonts w:hint="eastAsia" w:ascii="宋体" w:hAnsi="宋体" w:cs="宋体"/>
          <w:sz w:val="24"/>
          <w:szCs w:val="24"/>
          <w:highlight w:val="none"/>
        </w:rPr>
        <w:t xml:space="preserve">（姓名）（法定代表人身份证号码</w:t>
      </w:r>
      <w:r>
        <w:rPr>
          <w:rStyle w:val="1020"/>
          <w:rFonts w:hint="eastAsia" w:ascii="宋体" w:hAnsi="宋体" w:cs="宋体"/>
          <w:sz w:val="24"/>
          <w:szCs w:val="24"/>
          <w:highlight w:val="none"/>
          <w:u w:val="single"/>
        </w:rPr>
        <w:t xml:space="preserve">：         </w:t>
      </w:r>
      <w:r>
        <w:rPr>
          <w:rStyle w:val="1020"/>
          <w:rFonts w:hint="eastAsia" w:ascii="宋体" w:hAnsi="宋体" w:cs="宋体"/>
          <w:sz w:val="24"/>
          <w:szCs w:val="24"/>
          <w:highlight w:val="none"/>
        </w:rPr>
        <w:t xml:space="preserve">）担任</w:t>
      </w:r>
      <w:r>
        <w:rPr>
          <w:rStyle w:val="1020"/>
          <w:rFonts w:hint="eastAsia" w:ascii="宋体" w:hAnsi="宋体" w:cs="宋体"/>
          <w:sz w:val="24"/>
          <w:szCs w:val="24"/>
          <w:highlight w:val="none"/>
          <w:u w:val="single"/>
        </w:rPr>
        <w:t xml:space="preserve">     </w:t>
      </w:r>
      <w:r>
        <w:rPr>
          <w:rStyle w:val="1020"/>
          <w:rFonts w:hint="eastAsia" w:ascii="宋体" w:hAnsi="宋体" w:cs="宋体"/>
          <w:sz w:val="24"/>
          <w:szCs w:val="24"/>
          <w:highlight w:val="none"/>
        </w:rPr>
        <w:t xml:space="preserve">(供应商名称)</w:t>
      </w:r>
      <w:r>
        <w:rPr>
          <w:rStyle w:val="1020"/>
          <w:rFonts w:hint="eastAsia" w:ascii="宋体" w:hAnsi="宋体" w:cs="宋体"/>
          <w:sz w:val="24"/>
          <w:szCs w:val="24"/>
          <w:highlight w:val="none"/>
          <w:u w:val="single"/>
        </w:rPr>
        <w:t xml:space="preserve">      （职位 ）</w:t>
      </w:r>
      <w:r>
        <w:rPr>
          <w:rStyle w:val="1020"/>
          <w:rFonts w:hint="eastAsia" w:ascii="宋体" w:hAnsi="宋体" w:cs="宋体"/>
          <w:sz w:val="24"/>
          <w:szCs w:val="24"/>
          <w:highlight w:val="none"/>
        </w:rPr>
        <w:t xml:space="preserve">，是我单位的法定代表人。</w:t>
      </w:r>
      <w:r/>
    </w:p>
    <w:p>
      <w:pPr>
        <w:pStyle w:val="985"/>
        <w:ind w:firstLine="500"/>
        <w:spacing w:before="240" w:after="240"/>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特此证明。</w:t>
      </w:r>
      <w:r/>
    </w:p>
    <w:p>
      <w:pPr>
        <w:pStyle w:val="985"/>
        <w:spacing w:before="240" w:after="240"/>
        <w:rPr>
          <w:rStyle w:val="1020"/>
          <w:rFonts w:hint="eastAsia" w:ascii="宋体" w:hAnsi="宋体" w:cs="宋体"/>
          <w:sz w:val="24"/>
          <w:szCs w:val="24"/>
          <w:highlight w:val="none"/>
        </w:rPr>
      </w:pPr>
      <w:r>
        <w:rPr>
          <w:rFonts w:hint="eastAsia" w:ascii="宋体" w:hAnsi="宋体" w:cs="宋体"/>
          <w:sz w:val="24"/>
          <w:szCs w:val="24"/>
          <w:highlight w:val="none"/>
        </w:rPr>
      </w:r>
      <w:r/>
    </w:p>
    <w:p>
      <w:pPr>
        <w:pStyle w:val="985"/>
        <w:spacing w:before="240" w:after="240"/>
        <w:rPr>
          <w:rStyle w:val="1020"/>
          <w:rFonts w:hint="eastAsia" w:ascii="宋体" w:hAnsi="宋体" w:cs="宋体"/>
          <w:sz w:val="24"/>
          <w:szCs w:val="24"/>
          <w:highlight w:val="none"/>
        </w:rPr>
      </w:pPr>
      <w:r>
        <w:rPr>
          <w:rFonts w:hint="eastAsia" w:ascii="宋体" w:hAnsi="宋体" w:cs="宋体"/>
          <w:sz w:val="24"/>
          <w:szCs w:val="24"/>
          <w:highlight w:val="none"/>
        </w:rPr>
      </w:r>
      <w:r/>
    </w:p>
    <w:p>
      <w:pPr>
        <w:pStyle w:val="985"/>
        <w:ind w:firstLine="3570"/>
        <w:spacing w:before="240" w:after="240"/>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法定代表人联系电话：（手机）</w:t>
      </w:r>
      <w:r/>
    </w:p>
    <w:p>
      <w:pPr>
        <w:pStyle w:val="985"/>
        <w:ind w:firstLine="3570"/>
        <w:spacing w:before="240" w:after="240"/>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单位名称：（加盖公章）</w:t>
      </w:r>
      <w:r/>
    </w:p>
    <w:p>
      <w:pPr>
        <w:pStyle w:val="985"/>
        <w:ind w:firstLine="3570"/>
        <w:spacing w:before="240" w:after="240"/>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单位地址：</w:t>
      </w:r>
      <w:r/>
    </w:p>
    <w:p>
      <w:pPr>
        <w:pStyle w:val="985"/>
        <w:ind w:firstLine="3600"/>
        <w:spacing w:before="240" w:after="240"/>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日期：     年   月   日</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rPr>
        <w:t xml:space="preserve">关于资格证明文件的书面承诺</w:t>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关于资格证明文件的书面承诺</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40" w:after="240"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firstLine="480"/>
        <w:spacing w:before="240" w:after="240"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投标单位（加盖公章）：</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rPr>
        <w:t xml:space="preserve">中小企业声明函</w:t>
      </w:r>
      <w:r/>
    </w:p>
    <w:p>
      <w:pPr>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中小企业声明函（服务）</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firstLine="48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本公司郑重声明，根据《政府采购促进中小企业发展管理办法》(财库〔2020〕46号)的规定，本公司参加</w:t>
      </w:r>
      <w:r>
        <w:rPr>
          <w:rFonts w:hint="eastAsia" w:ascii="宋体" w:hAnsi="宋体" w:cs="宋体"/>
          <w:color w:val="000000"/>
          <w:sz w:val="24"/>
          <w:highlight w:val="none"/>
          <w:u w:val="single"/>
        </w:rPr>
        <w:t xml:space="preserve">       （单位名称）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（项目名称）</w:t>
      </w:r>
      <w:r>
        <w:rPr>
          <w:rFonts w:hint="eastAsia" w:ascii="宋体" w:hAnsi="宋体" w:cs="宋体"/>
          <w:color w:val="000000"/>
          <w:sz w:val="24"/>
          <w:highlight w:val="none"/>
        </w:rPr>
        <w:t xml:space="preserve">采购活动，服务全部由符合政策要求的中小企业承接。相关企业的具体情况如下：</w:t>
      </w:r>
      <w:r/>
    </w:p>
    <w:p>
      <w:pPr>
        <w:ind w:firstLine="48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     （标的名称）</w:t>
      </w:r>
      <w:r>
        <w:rPr>
          <w:rFonts w:hint="eastAsia" w:ascii="宋体" w:hAnsi="宋体" w:cs="宋体"/>
          <w:i/>
          <w:color w:val="000000"/>
          <w:sz w:val="24"/>
          <w:highlight w:val="none"/>
        </w:rPr>
        <w:t xml:space="preserve">，</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行业；承接企业为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        （中型企业、小型企业、微型企业）；</w:t>
      </w:r>
      <w:r/>
    </w:p>
    <w:p>
      <w:pPr>
        <w:ind w:firstLine="48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本企业对上述声明内容的真实性负责。如有虚假，将依法承担相应责任。 </w:t>
      </w:r>
      <w:r/>
    </w:p>
    <w:p>
      <w:pPr>
        <w:spacing w:line="43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企业名称（盖章）：</w:t>
      </w:r>
      <w:r/>
    </w:p>
    <w:p>
      <w:pPr>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w:t>
      </w:r>
      <w:r/>
    </w:p>
    <w:p>
      <w:pPr>
        <w:spacing w:line="43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注：投标人对照《关于印发中小企业划型标准规定的通知》（工信部联企业【2011】300号）中的标准，明确标的承接企业所属企业类型。</w:t>
      </w:r>
      <w:r/>
    </w:p>
    <w:p>
      <w:pPr>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备注：1.从业人员、营业收入、资产总额填报上一年度数据，无上一年度数据的新成立企业可不填报。</w:t>
      </w:r>
      <w:r/>
    </w:p>
    <w:p>
      <w:pPr>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服务类项目中投标人若使用退休人员，将不享受相应扶持政策。</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附：中小企业划型标准规定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rPr>
        <w:t xml:space="preserve">残疾人福利性单位声明函</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残疾人福利性单位声明函</w:t>
      </w:r>
      <w:r/>
    </w:p>
    <w:p>
      <w:pPr>
        <w:spacing w:before="320" w:after="3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单位的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本单位对上述声明的真实性负责。如有虚假，将依法承担相应责任。</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单位名称（盖章）：</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投标人提供的《残疾人福利性单位声明函》与事实不符的，依照《政府采购法》第七十七条第一款的规定追究法律责任。</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中标、成交投标人为残疾人福利性单位的，招标人或者其委托的采购代理机构应当随中标、成交结果同时公告其《残疾人福利性单位声明函》，接受社会监督。</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2、若投标人对照《关于促进残疾人就业政府采购政策的通知》（财库〔2017〕141号）中的规定，明确不符合残疾人福利性单位条件的，则无需提供此声明函。</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rPr>
        <w:t xml:space="preserve">监狱企业的证明文件</w:t>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监狱企业的证明文件</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firstLine="480"/>
        <w:spacing w:before="240" w:after="240"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before="240" w:after="240"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2、若投标人对照《关于政府采购支持监狱企业发展有关问题的通知》（财库〔2014〕68号）中的规定，明确不符合监狱企业条件的，则无需提供相关证明文件。</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pStyle w:val="748"/>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86" w:name="_Toc4259"/>
      <w:r>
        <w:rPr>
          <w:rFonts w:hint="eastAsia" w:ascii="宋体" w:hAnsi="宋体" w:cs="宋体"/>
          <w:color w:val="000000"/>
          <w:highlight w:val="none"/>
        </w:rPr>
        <w:t xml:space="preserve">六、第四章项目需求中实质性要求响应对照表</w:t>
      </w:r>
      <w:bookmarkEnd w:id="186"/>
      <w:r/>
      <w:r/>
    </w:p>
    <w:p>
      <w:pPr>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第四章项目需求中实质性要求响应对照表</w:t>
      </w:r>
      <w:r/>
    </w:p>
    <w:p>
      <w:pPr>
        <w:pStyle w:val="995"/>
        <w:ind w:firstLine="482"/>
        <w:spacing w:line="440" w:lineRule="exact"/>
        <w:rPr>
          <w:rStyle w:val="1020"/>
          <w:rFonts w:hint="eastAsia" w:ascii="宋体" w:hAnsi="宋体" w:cs="宋体"/>
          <w:b/>
          <w:bCs/>
          <w:sz w:val="24"/>
          <w:szCs w:val="24"/>
          <w:highlight w:val="none"/>
        </w:rPr>
      </w:pPr>
      <w:r>
        <w:rPr>
          <w:rStyle w:val="1020"/>
          <w:rFonts w:hint="eastAsia" w:ascii="宋体" w:hAnsi="宋体" w:cs="宋体"/>
          <w:b/>
          <w:bCs/>
          <w:sz w:val="24"/>
          <w:szCs w:val="24"/>
          <w:highlight w:val="none"/>
        </w:rPr>
        <w:t xml:space="preserve">1、商务条款的实质性格式</w:t>
      </w:r>
      <w:r/>
    </w:p>
    <w:tbl>
      <w:tblPr>
        <w:tblStyle w:val="757"/>
        <w:tblW w:w="9060"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6"/>
        <w:gridCol w:w="6384"/>
        <w:gridCol w:w="1990"/>
      </w:tblGrid>
      <w:tr>
        <w:trPr>
          <w:trHeight w:val="287"/>
        </w:trPr>
        <w:tc>
          <w:tcPr>
            <w:tcMar>
              <w:left w:w="0" w:type="dxa"/>
              <w:top w:w="0" w:type="dxa"/>
              <w:right w:w="0" w:type="dxa"/>
              <w:bottom w:w="0" w:type="dxa"/>
            </w:tcMar>
            <w:tcW w:w="686" w:type="dxa"/>
            <w:vAlign w:val="center"/>
            <w:textDirection w:val="lrTb"/>
            <w:noWrap w:val="false"/>
          </w:tcPr>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序号</w:t>
            </w:r>
            <w:r/>
          </w:p>
        </w:tc>
        <w:tc>
          <w:tcPr>
            <w:tcMar>
              <w:left w:w="0" w:type="dxa"/>
              <w:top w:w="0" w:type="dxa"/>
              <w:right w:w="0" w:type="dxa"/>
              <w:bottom w:w="0" w:type="dxa"/>
            </w:tcMar>
            <w:tcW w:w="6384" w:type="dxa"/>
            <w:vAlign w:val="center"/>
            <w:textDirection w:val="lrTb"/>
            <w:noWrap w:val="false"/>
          </w:tcPr>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商务条款的实质性要求</w:t>
            </w:r>
            <w:r/>
          </w:p>
          <w:p>
            <w:pPr>
              <w:pStyle w:val="995"/>
              <w:jc w:val="center"/>
              <w:rPr>
                <w:rStyle w:val="1020"/>
                <w:rFonts w:hint="eastAsia" w:ascii="宋体" w:hAnsi="宋体" w:cs="宋体"/>
                <w:sz w:val="24"/>
                <w:szCs w:val="24"/>
                <w:highlight w:val="none"/>
              </w:rPr>
            </w:pPr>
            <w:r>
              <w:rPr>
                <w:rFonts w:hint="eastAsia" w:ascii="宋体" w:hAnsi="宋体" w:eastAsia="宋体" w:cs="宋体"/>
                <w:i/>
                <w:highlight w:val="none"/>
                <w:u w:val="single"/>
              </w:rPr>
              <w:t xml:space="preserve">（加斜体下划线内容）</w:t>
            </w:r>
            <w:r/>
          </w:p>
        </w:tc>
        <w:tc>
          <w:tcPr>
            <w:tcMar>
              <w:left w:w="0" w:type="dxa"/>
              <w:top w:w="0" w:type="dxa"/>
              <w:right w:w="0" w:type="dxa"/>
              <w:bottom w:w="0" w:type="dxa"/>
            </w:tcMar>
            <w:tcW w:w="1990" w:type="dxa"/>
            <w:vAlign w:val="center"/>
            <w:textDirection w:val="lrTb"/>
            <w:noWrap w:val="false"/>
          </w:tcPr>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是否响应</w:t>
            </w:r>
            <w:r/>
          </w:p>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（填是或者否）</w:t>
            </w:r>
            <w:r/>
          </w:p>
        </w:tc>
      </w:tr>
      <w:tr>
        <w:trPr>
          <w:trHeight w:val="287"/>
        </w:trPr>
        <w:tc>
          <w:tcPr>
            <w:tcMar>
              <w:left w:w="0" w:type="dxa"/>
              <w:top w:w="0" w:type="dxa"/>
              <w:right w:w="0" w:type="dxa"/>
              <w:bottom w:w="0" w:type="dxa"/>
            </w:tcMar>
            <w:tcW w:w="686" w:type="dxa"/>
            <w:vAlign w:val="center"/>
            <w:textDirection w:val="lrTb"/>
            <w:noWrap w:val="false"/>
          </w:tcPr>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1</w:t>
            </w:r>
            <w:r/>
          </w:p>
        </w:tc>
        <w:tc>
          <w:tcPr>
            <w:tcMar>
              <w:left w:w="0" w:type="dxa"/>
              <w:top w:w="0" w:type="dxa"/>
              <w:right w:w="0" w:type="dxa"/>
              <w:bottom w:w="0" w:type="dxa"/>
            </w:tcMar>
            <w:tcW w:w="6384" w:type="dxa"/>
            <w:vAlign w:val="center"/>
            <w:textDirection w:val="lrTb"/>
            <w:noWrap w:val="false"/>
          </w:tcPr>
          <w:p>
            <w:pPr>
              <w:pStyle w:val="962"/>
              <w:ind w:firstLine="500"/>
              <w:spacing w:line="440" w:lineRule="exact"/>
              <w:rPr>
                <w:rFonts w:hint="eastAsia" w:ascii="宋体" w:hAnsi="宋体" w:eastAsia="宋体" w:cs="宋体"/>
                <w:i/>
                <w:highlight w:val="none"/>
                <w:u w:val="single"/>
              </w:rPr>
            </w:pPr>
            <w:r>
              <w:rPr>
                <w:rFonts w:hint="eastAsia" w:ascii="宋体" w:hAnsi="宋体" w:eastAsia="宋体" w:cs="宋体"/>
                <w:i/>
                <w:highlight w:val="none"/>
                <w:u w:val="single"/>
              </w:rPr>
            </w:r>
            <w:r/>
          </w:p>
        </w:tc>
        <w:tc>
          <w:tcPr>
            <w:tcMar>
              <w:left w:w="0" w:type="dxa"/>
              <w:top w:w="0" w:type="dxa"/>
              <w:right w:w="0" w:type="dxa"/>
              <w:bottom w:w="0" w:type="dxa"/>
            </w:tcMar>
            <w:tcW w:w="1990" w:type="dxa"/>
            <w:vAlign w:val="center"/>
            <w:textDirection w:val="lrTb"/>
            <w:noWrap w:val="false"/>
          </w:tcPr>
          <w:p>
            <w:pPr>
              <w:pStyle w:val="995"/>
              <w:jc w:val="center"/>
              <w:rPr>
                <w:rStyle w:val="1020"/>
                <w:rFonts w:hint="eastAsia" w:ascii="宋体" w:hAnsi="宋体" w:cs="宋体"/>
                <w:sz w:val="24"/>
                <w:szCs w:val="24"/>
                <w:highlight w:val="none"/>
              </w:rPr>
            </w:pPr>
            <w:r>
              <w:rPr>
                <w:rFonts w:hint="eastAsia" w:ascii="宋体" w:hAnsi="宋体" w:cs="宋体"/>
                <w:sz w:val="24"/>
                <w:szCs w:val="24"/>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2</w:t>
            </w:r>
            <w:r/>
          </w:p>
        </w:tc>
        <w:tc>
          <w:tcPr>
            <w:tcMar>
              <w:left w:w="0" w:type="dxa"/>
              <w:top w:w="0" w:type="dxa"/>
              <w:right w:w="0" w:type="dxa"/>
              <w:bottom w:w="0" w:type="dxa"/>
            </w:tcMar>
            <w:tcW w:w="6384" w:type="dxa"/>
            <w:vAlign w:val="center"/>
            <w:textDirection w:val="lrTb"/>
            <w:noWrap w:val="false"/>
          </w:tcPr>
          <w:p>
            <w:pPr>
              <w:pStyle w:val="962"/>
              <w:ind w:firstLine="500"/>
              <w:spacing w:line="440" w:lineRule="exact"/>
              <w:rPr>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1990" w:type="dxa"/>
            <w:vAlign w:val="center"/>
            <w:textDirection w:val="lrTb"/>
            <w:noWrap w:val="false"/>
          </w:tcPr>
          <w:p>
            <w:pPr>
              <w:pStyle w:val="995"/>
              <w:jc w:val="center"/>
              <w:rPr>
                <w:rStyle w:val="1020"/>
                <w:rFonts w:hint="eastAsia" w:ascii="宋体" w:hAnsi="宋体" w:cs="宋体"/>
                <w:sz w:val="24"/>
                <w:szCs w:val="24"/>
                <w:highlight w:val="none"/>
              </w:rPr>
            </w:pPr>
            <w:r>
              <w:rPr>
                <w:rFonts w:hint="eastAsia" w:ascii="宋体" w:hAnsi="宋体" w:cs="宋体"/>
                <w:sz w:val="24"/>
                <w:szCs w:val="24"/>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3</w:t>
            </w:r>
            <w:r/>
          </w:p>
        </w:tc>
        <w:tc>
          <w:tcPr>
            <w:tcMar>
              <w:left w:w="0" w:type="dxa"/>
              <w:top w:w="0" w:type="dxa"/>
              <w:right w:w="0" w:type="dxa"/>
              <w:bottom w:w="0" w:type="dxa"/>
            </w:tcMar>
            <w:tcW w:w="6384" w:type="dxa"/>
            <w:vAlign w:val="center"/>
            <w:textDirection w:val="lrTb"/>
            <w:noWrap w:val="false"/>
          </w:tcPr>
          <w:p>
            <w:pPr>
              <w:pStyle w:val="962"/>
              <w:ind w:firstLine="500"/>
              <w:spacing w:line="440" w:lineRule="exact"/>
              <w:rPr>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1990" w:type="dxa"/>
            <w:vAlign w:val="center"/>
            <w:textDirection w:val="lrTb"/>
            <w:noWrap w:val="false"/>
          </w:tcPr>
          <w:p>
            <w:pPr>
              <w:pStyle w:val="995"/>
              <w:jc w:val="center"/>
              <w:rPr>
                <w:rStyle w:val="1020"/>
                <w:rFonts w:hint="eastAsia" w:ascii="宋体" w:hAnsi="宋体" w:cs="宋体"/>
                <w:sz w:val="24"/>
                <w:szCs w:val="24"/>
                <w:highlight w:val="none"/>
              </w:rPr>
            </w:pPr>
            <w:r>
              <w:rPr>
                <w:rFonts w:hint="eastAsia" w:ascii="宋体" w:hAnsi="宋体" w:cs="宋体"/>
                <w:sz w:val="24"/>
                <w:szCs w:val="24"/>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995"/>
              <w:jc w:val="center"/>
              <w:rPr>
                <w:rStyle w:val="1020"/>
                <w:rFonts w:hint="eastAsia" w:ascii="宋体" w:hAnsi="宋体" w:cs="宋体"/>
                <w:sz w:val="24"/>
                <w:szCs w:val="24"/>
                <w:highlight w:val="none"/>
              </w:rPr>
            </w:pPr>
            <w:r>
              <w:rPr>
                <w:rFonts w:hint="eastAsia" w:ascii="宋体" w:hAnsi="宋体" w:cs="宋体"/>
                <w:sz w:val="24"/>
                <w:szCs w:val="24"/>
                <w:highlight w:val="none"/>
              </w:rPr>
            </w:r>
            <w:r/>
          </w:p>
        </w:tc>
        <w:tc>
          <w:tcPr>
            <w:tcMar>
              <w:left w:w="0" w:type="dxa"/>
              <w:top w:w="0" w:type="dxa"/>
              <w:right w:w="0" w:type="dxa"/>
              <w:bottom w:w="0" w:type="dxa"/>
            </w:tcMar>
            <w:tcW w:w="6384" w:type="dxa"/>
            <w:vAlign w:val="center"/>
            <w:textDirection w:val="lrTb"/>
            <w:noWrap w:val="false"/>
          </w:tcPr>
          <w:p>
            <w:pPr>
              <w:pStyle w:val="962"/>
              <w:ind w:firstLine="500"/>
              <w:spacing w:line="440" w:lineRule="exact"/>
              <w:rPr>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1990" w:type="dxa"/>
            <w:vAlign w:val="center"/>
            <w:textDirection w:val="lrTb"/>
            <w:noWrap w:val="false"/>
          </w:tcPr>
          <w:p>
            <w:pPr>
              <w:pStyle w:val="995"/>
              <w:jc w:val="center"/>
              <w:rPr>
                <w:rStyle w:val="1020"/>
                <w:rFonts w:hint="eastAsia" w:ascii="宋体" w:hAnsi="宋体" w:cs="宋体"/>
                <w:sz w:val="24"/>
                <w:szCs w:val="24"/>
                <w:highlight w:val="none"/>
              </w:rPr>
            </w:pPr>
            <w:r>
              <w:rPr>
                <w:rFonts w:hint="eastAsia" w:ascii="宋体" w:hAnsi="宋体" w:cs="宋体"/>
                <w:sz w:val="24"/>
                <w:szCs w:val="24"/>
                <w:highlight w:val="none"/>
              </w:rPr>
            </w:r>
            <w:r/>
          </w:p>
        </w:tc>
      </w:tr>
      <w:tr>
        <w:trPr>
          <w:trHeight w:val="287"/>
        </w:trPr>
        <w:tc>
          <w:tcPr>
            <w:tcMar>
              <w:left w:w="0" w:type="dxa"/>
              <w:top w:w="0" w:type="dxa"/>
              <w:right w:w="0" w:type="dxa"/>
              <w:bottom w:w="0" w:type="dxa"/>
            </w:tcMar>
            <w:tcW w:w="686" w:type="dxa"/>
            <w:vAlign w:val="center"/>
            <w:textDirection w:val="lrTb"/>
            <w:noWrap w:val="false"/>
          </w:tcPr>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w:t>
            </w:r>
            <w:r/>
          </w:p>
        </w:tc>
        <w:tc>
          <w:tcPr>
            <w:tcMar>
              <w:left w:w="0" w:type="dxa"/>
              <w:top w:w="0" w:type="dxa"/>
              <w:right w:w="0" w:type="dxa"/>
              <w:bottom w:w="0" w:type="dxa"/>
            </w:tcMar>
            <w:tcW w:w="6384" w:type="dxa"/>
            <w:vAlign w:val="center"/>
            <w:textDirection w:val="lrTb"/>
            <w:noWrap w:val="false"/>
          </w:tcPr>
          <w:p>
            <w:pPr>
              <w:pStyle w:val="962"/>
              <w:spacing w:line="440" w:lineRule="exact"/>
              <w:rPr>
                <w:rStyle w:val="1020"/>
                <w:rFonts w:hint="eastAsia" w:ascii="宋体" w:hAnsi="宋体" w:cs="宋体"/>
                <w:sz w:val="24"/>
                <w:szCs w:val="24"/>
                <w:highlight w:val="none"/>
              </w:rPr>
            </w:pPr>
            <w:r>
              <w:rPr>
                <w:rFonts w:hint="eastAsia" w:ascii="宋体" w:hAnsi="宋体" w:cs="宋体"/>
                <w:sz w:val="24"/>
                <w:szCs w:val="24"/>
                <w:highlight w:val="none"/>
              </w:rPr>
            </w:r>
            <w:r/>
          </w:p>
        </w:tc>
        <w:tc>
          <w:tcPr>
            <w:tcMar>
              <w:left w:w="0" w:type="dxa"/>
              <w:top w:w="0" w:type="dxa"/>
              <w:right w:w="0" w:type="dxa"/>
              <w:bottom w:w="0" w:type="dxa"/>
            </w:tcMar>
            <w:tcW w:w="1990" w:type="dxa"/>
            <w:vAlign w:val="center"/>
            <w:textDirection w:val="lrTb"/>
            <w:noWrap w:val="false"/>
          </w:tcPr>
          <w:p>
            <w:pPr>
              <w:pStyle w:val="995"/>
              <w:jc w:val="center"/>
              <w:rPr>
                <w:rStyle w:val="1020"/>
                <w:rFonts w:hint="eastAsia" w:ascii="宋体" w:hAnsi="宋体" w:cs="宋体"/>
                <w:sz w:val="24"/>
                <w:szCs w:val="24"/>
                <w:highlight w:val="none"/>
              </w:rPr>
            </w:pPr>
            <w:r>
              <w:rPr>
                <w:rFonts w:hint="eastAsia" w:ascii="宋体" w:hAnsi="宋体" w:cs="宋体"/>
                <w:sz w:val="24"/>
                <w:szCs w:val="24"/>
                <w:highlight w:val="none"/>
              </w:rPr>
            </w:r>
            <w:r/>
          </w:p>
        </w:tc>
      </w:tr>
    </w:tbl>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备注：</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1.投标人必须对商务条款中的实质性要求</w:t>
      </w:r>
      <w:r>
        <w:rPr>
          <w:rFonts w:hint="eastAsia" w:ascii="宋体" w:hAnsi="宋体" w:cs="宋体"/>
          <w:i/>
          <w:sz w:val="24"/>
          <w:szCs w:val="24"/>
          <w:highlight w:val="none"/>
          <w:u w:val="single"/>
        </w:rPr>
        <w:t xml:space="preserve">（加斜体下划线内容）</w:t>
      </w:r>
      <w:r>
        <w:rPr>
          <w:rFonts w:hint="eastAsia" w:ascii="宋体" w:hAnsi="宋体" w:cs="宋体"/>
          <w:sz w:val="24"/>
          <w:szCs w:val="24"/>
          <w:highlight w:val="none"/>
        </w:rPr>
        <w:t xml:space="preserve">逐条做出明确响应，</w:t>
      </w:r>
      <w:r>
        <w:rPr>
          <w:rFonts w:hint="eastAsia" w:ascii="宋体" w:hAnsi="宋体" w:cs="宋体"/>
          <w:sz w:val="24"/>
          <w:highlight w:val="none"/>
        </w:rPr>
        <w:t xml:space="preserve">否则该采购包作无效投标处理。</w:t>
      </w:r>
      <w:r/>
    </w:p>
    <w:p>
      <w:pPr>
        <w:pStyle w:val="995"/>
        <w:rPr>
          <w:rStyle w:val="1020"/>
          <w:rFonts w:hint="eastAsia" w:ascii="宋体" w:hAnsi="宋体" w:cs="宋体"/>
          <w:highlight w:val="none"/>
        </w:rPr>
      </w:pPr>
      <w:r>
        <w:rPr>
          <w:rFonts w:hint="eastAsia" w:ascii="宋体" w:hAnsi="宋体" w:cs="宋体"/>
          <w:highlight w:val="none"/>
        </w:rPr>
      </w:r>
      <w:r/>
    </w:p>
    <w:p>
      <w:pPr>
        <w:pStyle w:val="995"/>
        <w:rPr>
          <w:rStyle w:val="1020"/>
          <w:rFonts w:hint="eastAsia" w:ascii="宋体" w:hAnsi="宋体" w:cs="宋体"/>
          <w:b/>
          <w:bCs/>
          <w:highlight w:val="none"/>
        </w:rPr>
      </w:pPr>
      <w:r>
        <w:rPr>
          <w:rFonts w:hint="eastAsia" w:ascii="宋体" w:hAnsi="宋体" w:cs="宋体"/>
          <w:b/>
          <w:bCs/>
          <w:highlight w:val="none"/>
        </w:rPr>
      </w:r>
      <w:r/>
    </w:p>
    <w:p>
      <w:pPr>
        <w:pStyle w:val="995"/>
        <w:ind w:firstLine="482"/>
        <w:rPr>
          <w:rStyle w:val="1020"/>
          <w:rFonts w:hint="eastAsia" w:ascii="宋体" w:hAnsi="宋体" w:cs="宋体"/>
          <w:b/>
          <w:bCs/>
          <w:sz w:val="24"/>
          <w:szCs w:val="24"/>
          <w:highlight w:val="none"/>
        </w:rPr>
      </w:pPr>
      <w:r>
        <w:rPr>
          <w:rStyle w:val="1020"/>
          <w:rFonts w:hint="eastAsia" w:ascii="宋体" w:hAnsi="宋体" w:cs="宋体"/>
          <w:b/>
          <w:bCs/>
          <w:sz w:val="24"/>
          <w:szCs w:val="24"/>
          <w:highlight w:val="none"/>
        </w:rPr>
        <w:t xml:space="preserve">2、技术要求的实质性格式</w:t>
      </w:r>
      <w:r/>
    </w:p>
    <w:tbl>
      <w:tblPr>
        <w:tblStyle w:val="757"/>
        <w:tblW w:w="9089"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62"/>
        <w:gridCol w:w="6288"/>
        <w:gridCol w:w="2139"/>
      </w:tblGrid>
      <w:tr>
        <w:trPr>
          <w:trHeight w:val="510"/>
        </w:trPr>
        <w:tc>
          <w:tcPr>
            <w:tcMar>
              <w:left w:w="0" w:type="dxa"/>
              <w:top w:w="0" w:type="dxa"/>
              <w:right w:w="0" w:type="dxa"/>
              <w:bottom w:w="0" w:type="dxa"/>
            </w:tcMar>
            <w:tcW w:w="662" w:type="dxa"/>
            <w:vAlign w:val="center"/>
            <w:textDirection w:val="lrTb"/>
            <w:noWrap w:val="false"/>
          </w:tcPr>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序号</w:t>
            </w:r>
            <w:r/>
          </w:p>
        </w:tc>
        <w:tc>
          <w:tcPr>
            <w:tcMar>
              <w:left w:w="0" w:type="dxa"/>
              <w:top w:w="0" w:type="dxa"/>
              <w:right w:w="0" w:type="dxa"/>
              <w:bottom w:w="0" w:type="dxa"/>
            </w:tcMar>
            <w:tcW w:w="6288" w:type="dxa"/>
            <w:vAlign w:val="center"/>
            <w:textDirection w:val="lrTb"/>
            <w:noWrap w:val="false"/>
          </w:tcPr>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技术要求的实质性要求</w:t>
            </w:r>
            <w:r/>
          </w:p>
          <w:p>
            <w:pPr>
              <w:pStyle w:val="995"/>
              <w:jc w:val="center"/>
              <w:rPr>
                <w:rStyle w:val="1020"/>
                <w:rFonts w:hint="eastAsia" w:ascii="宋体" w:hAnsi="宋体" w:cs="宋体"/>
                <w:sz w:val="24"/>
                <w:szCs w:val="24"/>
                <w:highlight w:val="none"/>
              </w:rPr>
            </w:pPr>
            <w:r>
              <w:rPr>
                <w:rFonts w:hint="eastAsia" w:ascii="宋体" w:hAnsi="宋体" w:eastAsia="宋体" w:cs="宋体"/>
                <w:i/>
                <w:highlight w:val="none"/>
                <w:u w:val="single"/>
              </w:rPr>
              <w:t xml:space="preserve">（加斜体下划线内容）</w:t>
            </w:r>
            <w:r/>
          </w:p>
        </w:tc>
        <w:tc>
          <w:tcPr>
            <w:tcMar>
              <w:left w:w="0" w:type="dxa"/>
              <w:top w:w="0" w:type="dxa"/>
              <w:right w:w="0" w:type="dxa"/>
              <w:bottom w:w="0" w:type="dxa"/>
            </w:tcMar>
            <w:tcW w:w="2139" w:type="dxa"/>
            <w:vAlign w:val="center"/>
            <w:textDirection w:val="lrTb"/>
            <w:noWrap w:val="false"/>
          </w:tcPr>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是否响应</w:t>
            </w:r>
            <w:r/>
          </w:p>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（填是或者否）</w:t>
            </w:r>
            <w:r/>
          </w:p>
        </w:tc>
      </w:tr>
      <w:tr>
        <w:trPr>
          <w:trHeight w:val="510"/>
        </w:trPr>
        <w:tc>
          <w:tcPr>
            <w:tcMar>
              <w:left w:w="0" w:type="dxa"/>
              <w:top w:w="0" w:type="dxa"/>
              <w:right w:w="0" w:type="dxa"/>
              <w:bottom w:w="0" w:type="dxa"/>
            </w:tcMar>
            <w:tcW w:w="662" w:type="dxa"/>
            <w:vAlign w:val="center"/>
            <w:textDirection w:val="lrTb"/>
            <w:noWrap w:val="false"/>
          </w:tcPr>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1</w:t>
            </w:r>
            <w:r/>
          </w:p>
        </w:tc>
        <w:tc>
          <w:tcPr>
            <w:tcMar>
              <w:left w:w="0" w:type="dxa"/>
              <w:top w:w="0" w:type="dxa"/>
              <w:right w:w="0" w:type="dxa"/>
              <w:bottom w:w="0" w:type="dxa"/>
            </w:tcMar>
            <w:tcW w:w="6288" w:type="dxa"/>
            <w:vAlign w:val="center"/>
            <w:textDirection w:val="lrTb"/>
            <w:noWrap w:val="false"/>
          </w:tcPr>
          <w:p>
            <w:pPr>
              <w:pStyle w:val="995"/>
              <w:rPr>
                <w:rFonts w:hint="eastAsia" w:ascii="宋体" w:hAnsi="宋体" w:eastAsia="宋体" w:cs="宋体"/>
                <w:i/>
                <w:highlight w:val="none"/>
                <w:u w:val="single"/>
              </w:rPr>
            </w:pPr>
            <w:r>
              <w:rPr>
                <w:rFonts w:hint="eastAsia" w:ascii="宋体" w:hAnsi="宋体" w:eastAsia="宋体" w:cs="宋体"/>
                <w:i/>
                <w:highlight w:val="none"/>
                <w:u w:val="single"/>
              </w:rPr>
            </w:r>
            <w:r/>
          </w:p>
        </w:tc>
        <w:tc>
          <w:tcPr>
            <w:tcMar>
              <w:left w:w="0" w:type="dxa"/>
              <w:top w:w="0" w:type="dxa"/>
              <w:right w:w="0" w:type="dxa"/>
              <w:bottom w:w="0" w:type="dxa"/>
            </w:tcMar>
            <w:tcW w:w="2139" w:type="dxa"/>
            <w:vAlign w:val="center"/>
            <w:textDirection w:val="lrTb"/>
            <w:noWrap w:val="false"/>
          </w:tcPr>
          <w:p>
            <w:pPr>
              <w:pStyle w:val="995"/>
              <w:jc w:val="center"/>
              <w:rPr>
                <w:rStyle w:val="1020"/>
                <w:rFonts w:hint="eastAsia" w:ascii="宋体" w:hAnsi="宋体" w:cs="宋体"/>
                <w:sz w:val="24"/>
                <w:szCs w:val="24"/>
                <w:highlight w:val="none"/>
              </w:rPr>
            </w:pPr>
            <w:r>
              <w:rPr>
                <w:rFonts w:hint="eastAsia" w:ascii="宋体" w:hAnsi="宋体" w:cs="宋体"/>
                <w:sz w:val="24"/>
                <w:szCs w:val="24"/>
                <w:highlight w:val="none"/>
              </w:rPr>
            </w:r>
            <w:r/>
          </w:p>
        </w:tc>
      </w:tr>
      <w:tr>
        <w:trPr>
          <w:trHeight w:val="510"/>
        </w:trPr>
        <w:tc>
          <w:tcPr>
            <w:tcMar>
              <w:left w:w="0" w:type="dxa"/>
              <w:top w:w="0" w:type="dxa"/>
              <w:right w:w="0" w:type="dxa"/>
              <w:bottom w:w="0" w:type="dxa"/>
            </w:tcMar>
            <w:tcW w:w="662" w:type="dxa"/>
            <w:vAlign w:val="center"/>
            <w:textDirection w:val="lrTb"/>
            <w:noWrap w:val="false"/>
          </w:tcPr>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2</w:t>
            </w:r>
            <w:r/>
          </w:p>
        </w:tc>
        <w:tc>
          <w:tcPr>
            <w:tcMar>
              <w:left w:w="0" w:type="dxa"/>
              <w:top w:w="0" w:type="dxa"/>
              <w:right w:w="0" w:type="dxa"/>
              <w:bottom w:w="0" w:type="dxa"/>
            </w:tcMar>
            <w:tcW w:w="6288" w:type="dxa"/>
            <w:vAlign w:val="center"/>
            <w:textDirection w:val="lrTb"/>
            <w:noWrap w:val="false"/>
          </w:tcPr>
          <w:p>
            <w:pPr>
              <w:pStyle w:val="995"/>
              <w:rPr>
                <w:rFonts w:hint="eastAsia" w:ascii="宋体" w:hAnsi="宋体" w:eastAsia="宋体" w:cs="宋体"/>
                <w:b/>
                <w:i/>
                <w:iCs/>
                <w:highlight w:val="none"/>
                <w:u w:val="single"/>
              </w:rPr>
            </w:pPr>
            <w:r>
              <w:rPr>
                <w:rFonts w:hint="eastAsia" w:ascii="宋体" w:hAnsi="宋体" w:eastAsia="宋体" w:cs="宋体"/>
                <w:b/>
                <w:i/>
                <w:iCs/>
                <w:highlight w:val="none"/>
                <w:u w:val="single"/>
              </w:rPr>
            </w:r>
            <w:r/>
          </w:p>
        </w:tc>
        <w:tc>
          <w:tcPr>
            <w:tcMar>
              <w:left w:w="0" w:type="dxa"/>
              <w:top w:w="0" w:type="dxa"/>
              <w:right w:w="0" w:type="dxa"/>
              <w:bottom w:w="0" w:type="dxa"/>
            </w:tcMar>
            <w:tcW w:w="2139" w:type="dxa"/>
            <w:vAlign w:val="center"/>
            <w:textDirection w:val="lrTb"/>
            <w:noWrap w:val="false"/>
          </w:tcPr>
          <w:p>
            <w:pPr>
              <w:pStyle w:val="995"/>
              <w:jc w:val="center"/>
              <w:rPr>
                <w:rStyle w:val="1020"/>
                <w:rFonts w:hint="eastAsia" w:ascii="宋体" w:hAnsi="宋体" w:cs="宋体"/>
                <w:sz w:val="24"/>
                <w:szCs w:val="24"/>
                <w:highlight w:val="none"/>
              </w:rPr>
            </w:pPr>
            <w:r>
              <w:rPr>
                <w:rFonts w:hint="eastAsia" w:ascii="宋体" w:hAnsi="宋体" w:cs="宋体"/>
                <w:sz w:val="24"/>
                <w:szCs w:val="24"/>
                <w:highlight w:val="none"/>
              </w:rPr>
            </w:r>
            <w:r/>
          </w:p>
        </w:tc>
      </w:tr>
      <w:tr>
        <w:trPr>
          <w:trHeight w:val="510"/>
        </w:trPr>
        <w:tc>
          <w:tcPr>
            <w:tcMar>
              <w:left w:w="0" w:type="dxa"/>
              <w:top w:w="0" w:type="dxa"/>
              <w:right w:w="0" w:type="dxa"/>
              <w:bottom w:w="0" w:type="dxa"/>
            </w:tcMar>
            <w:tcW w:w="662" w:type="dxa"/>
            <w:vAlign w:val="center"/>
            <w:textDirection w:val="lrTb"/>
            <w:noWrap w:val="false"/>
          </w:tcPr>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3</w:t>
            </w:r>
            <w:r/>
          </w:p>
        </w:tc>
        <w:tc>
          <w:tcPr>
            <w:tcMar>
              <w:left w:w="0" w:type="dxa"/>
              <w:top w:w="0" w:type="dxa"/>
              <w:right w:w="0" w:type="dxa"/>
              <w:bottom w:w="0" w:type="dxa"/>
            </w:tcMar>
            <w:tcW w:w="6288" w:type="dxa"/>
            <w:vAlign w:val="center"/>
            <w:textDirection w:val="lrTb"/>
            <w:noWrap w:val="false"/>
          </w:tcPr>
          <w:p>
            <w:pPr>
              <w:pStyle w:val="995"/>
              <w:rPr>
                <w:rFonts w:hint="eastAsia" w:ascii="宋体" w:hAnsi="宋体" w:eastAsia="宋体" w:cs="宋体"/>
                <w:highlight w:val="none"/>
              </w:rPr>
            </w:pPr>
            <w:r>
              <w:rPr>
                <w:rFonts w:hint="eastAsia" w:ascii="宋体" w:hAnsi="宋体" w:eastAsia="宋体" w:cs="宋体"/>
                <w:highlight w:val="none"/>
              </w:rPr>
            </w:r>
            <w:r/>
          </w:p>
        </w:tc>
        <w:tc>
          <w:tcPr>
            <w:tcMar>
              <w:left w:w="0" w:type="dxa"/>
              <w:top w:w="0" w:type="dxa"/>
              <w:right w:w="0" w:type="dxa"/>
              <w:bottom w:w="0" w:type="dxa"/>
            </w:tcMar>
            <w:tcW w:w="2139" w:type="dxa"/>
            <w:vAlign w:val="center"/>
            <w:textDirection w:val="lrTb"/>
            <w:noWrap w:val="false"/>
          </w:tcPr>
          <w:p>
            <w:pPr>
              <w:pStyle w:val="995"/>
              <w:jc w:val="center"/>
              <w:rPr>
                <w:rStyle w:val="1020"/>
                <w:rFonts w:hint="eastAsia" w:ascii="宋体" w:hAnsi="宋体" w:cs="宋体"/>
                <w:sz w:val="24"/>
                <w:szCs w:val="24"/>
                <w:highlight w:val="none"/>
              </w:rPr>
            </w:pPr>
            <w:r>
              <w:rPr>
                <w:rFonts w:hint="eastAsia" w:ascii="宋体" w:hAnsi="宋体" w:cs="宋体"/>
                <w:sz w:val="24"/>
                <w:szCs w:val="24"/>
                <w:highlight w:val="none"/>
              </w:rPr>
            </w:r>
            <w:r/>
          </w:p>
        </w:tc>
      </w:tr>
      <w:tr>
        <w:trPr>
          <w:trHeight w:val="510"/>
        </w:trPr>
        <w:tc>
          <w:tcPr>
            <w:tcMar>
              <w:left w:w="0" w:type="dxa"/>
              <w:top w:w="0" w:type="dxa"/>
              <w:right w:w="0" w:type="dxa"/>
              <w:bottom w:w="0" w:type="dxa"/>
            </w:tcMar>
            <w:tcW w:w="662" w:type="dxa"/>
            <w:vAlign w:val="center"/>
            <w:textDirection w:val="lrTb"/>
            <w:noWrap w:val="false"/>
          </w:tcPr>
          <w:p>
            <w:pPr>
              <w:pStyle w:val="995"/>
              <w:jc w:val="center"/>
              <w:rPr>
                <w:rStyle w:val="1020"/>
                <w:rFonts w:hint="eastAsia" w:ascii="宋体" w:hAnsi="宋体" w:cs="宋体"/>
                <w:sz w:val="24"/>
                <w:szCs w:val="24"/>
                <w:highlight w:val="none"/>
              </w:rPr>
            </w:pPr>
            <w:r>
              <w:rPr>
                <w:rFonts w:hint="eastAsia" w:ascii="宋体" w:hAnsi="宋体" w:cs="宋体"/>
                <w:sz w:val="24"/>
                <w:szCs w:val="24"/>
                <w:highlight w:val="none"/>
              </w:rPr>
            </w:r>
            <w:r/>
          </w:p>
        </w:tc>
        <w:tc>
          <w:tcPr>
            <w:tcMar>
              <w:left w:w="0" w:type="dxa"/>
              <w:top w:w="0" w:type="dxa"/>
              <w:right w:w="0" w:type="dxa"/>
              <w:bottom w:w="0" w:type="dxa"/>
            </w:tcMar>
            <w:tcW w:w="6288" w:type="dxa"/>
            <w:vAlign w:val="center"/>
            <w:textDirection w:val="lrTb"/>
            <w:noWrap w:val="false"/>
          </w:tcPr>
          <w:p>
            <w:pPr>
              <w:pStyle w:val="995"/>
              <w:rPr>
                <w:rStyle w:val="1020"/>
                <w:rFonts w:hint="eastAsia" w:ascii="宋体" w:hAnsi="宋体" w:cs="宋体"/>
                <w:sz w:val="24"/>
                <w:szCs w:val="24"/>
                <w:highlight w:val="none"/>
              </w:rPr>
            </w:pPr>
            <w:r>
              <w:rPr>
                <w:rFonts w:hint="eastAsia" w:ascii="宋体" w:hAnsi="宋体" w:cs="宋体"/>
                <w:sz w:val="24"/>
                <w:szCs w:val="24"/>
                <w:highlight w:val="none"/>
              </w:rPr>
            </w:r>
            <w:r/>
          </w:p>
        </w:tc>
        <w:tc>
          <w:tcPr>
            <w:tcMar>
              <w:left w:w="0" w:type="dxa"/>
              <w:top w:w="0" w:type="dxa"/>
              <w:right w:w="0" w:type="dxa"/>
              <w:bottom w:w="0" w:type="dxa"/>
            </w:tcMar>
            <w:tcW w:w="2139" w:type="dxa"/>
            <w:vAlign w:val="center"/>
            <w:textDirection w:val="lrTb"/>
            <w:noWrap w:val="false"/>
          </w:tcPr>
          <w:p>
            <w:pPr>
              <w:pStyle w:val="995"/>
              <w:jc w:val="center"/>
              <w:rPr>
                <w:rStyle w:val="1020"/>
                <w:rFonts w:hint="eastAsia" w:ascii="宋体" w:hAnsi="宋体" w:cs="宋体"/>
                <w:sz w:val="24"/>
                <w:szCs w:val="24"/>
                <w:highlight w:val="none"/>
              </w:rPr>
            </w:pPr>
            <w:r>
              <w:rPr>
                <w:rFonts w:hint="eastAsia" w:ascii="宋体" w:hAnsi="宋体" w:cs="宋体"/>
                <w:sz w:val="24"/>
                <w:szCs w:val="24"/>
                <w:highlight w:val="none"/>
              </w:rPr>
            </w:r>
            <w:r/>
          </w:p>
        </w:tc>
      </w:tr>
      <w:tr>
        <w:trPr>
          <w:trHeight w:val="510"/>
        </w:trPr>
        <w:tc>
          <w:tcPr>
            <w:tcMar>
              <w:left w:w="0" w:type="dxa"/>
              <w:top w:w="0" w:type="dxa"/>
              <w:right w:w="0" w:type="dxa"/>
              <w:bottom w:w="0" w:type="dxa"/>
            </w:tcMar>
            <w:tcW w:w="662" w:type="dxa"/>
            <w:vAlign w:val="center"/>
            <w:textDirection w:val="lrTb"/>
            <w:noWrap w:val="false"/>
          </w:tcPr>
          <w:p>
            <w:pPr>
              <w:pStyle w:val="995"/>
              <w:jc w:val="center"/>
              <w:rPr>
                <w:rStyle w:val="1020"/>
                <w:rFonts w:hint="eastAsia" w:ascii="宋体" w:hAnsi="宋体" w:cs="宋体"/>
                <w:sz w:val="24"/>
                <w:szCs w:val="24"/>
                <w:highlight w:val="none"/>
              </w:rPr>
            </w:pPr>
            <w:r>
              <w:rPr>
                <w:rStyle w:val="1020"/>
                <w:rFonts w:hint="eastAsia" w:ascii="宋体" w:hAnsi="宋体" w:cs="宋体"/>
                <w:sz w:val="24"/>
                <w:szCs w:val="24"/>
                <w:highlight w:val="none"/>
              </w:rPr>
              <w:t xml:space="preserve">……</w:t>
            </w:r>
            <w:r/>
          </w:p>
        </w:tc>
        <w:tc>
          <w:tcPr>
            <w:tcMar>
              <w:left w:w="0" w:type="dxa"/>
              <w:top w:w="0" w:type="dxa"/>
              <w:right w:w="0" w:type="dxa"/>
              <w:bottom w:w="0" w:type="dxa"/>
            </w:tcMar>
            <w:tcW w:w="6288" w:type="dxa"/>
            <w:vAlign w:val="center"/>
            <w:textDirection w:val="lrTb"/>
            <w:noWrap w:val="false"/>
          </w:tcPr>
          <w:p>
            <w:pPr>
              <w:pStyle w:val="995"/>
              <w:rPr>
                <w:rStyle w:val="1020"/>
                <w:rFonts w:hint="eastAsia" w:ascii="宋体" w:hAnsi="宋体" w:cs="宋体"/>
                <w:sz w:val="24"/>
                <w:szCs w:val="24"/>
                <w:highlight w:val="none"/>
              </w:rPr>
            </w:pPr>
            <w:r>
              <w:rPr>
                <w:rFonts w:hint="eastAsia" w:ascii="宋体" w:hAnsi="宋体" w:cs="宋体"/>
                <w:sz w:val="24"/>
                <w:szCs w:val="24"/>
                <w:highlight w:val="none"/>
              </w:rPr>
            </w:r>
            <w:r/>
          </w:p>
        </w:tc>
        <w:tc>
          <w:tcPr>
            <w:tcMar>
              <w:left w:w="0" w:type="dxa"/>
              <w:top w:w="0" w:type="dxa"/>
              <w:right w:w="0" w:type="dxa"/>
              <w:bottom w:w="0" w:type="dxa"/>
            </w:tcMar>
            <w:tcW w:w="2139" w:type="dxa"/>
            <w:vAlign w:val="center"/>
            <w:textDirection w:val="lrTb"/>
            <w:noWrap w:val="false"/>
          </w:tcPr>
          <w:p>
            <w:pPr>
              <w:pStyle w:val="995"/>
              <w:jc w:val="center"/>
              <w:rPr>
                <w:rStyle w:val="1020"/>
                <w:rFonts w:hint="eastAsia" w:ascii="宋体" w:hAnsi="宋体" w:cs="宋体"/>
                <w:sz w:val="24"/>
                <w:szCs w:val="24"/>
                <w:highlight w:val="none"/>
              </w:rPr>
            </w:pPr>
            <w:r>
              <w:rPr>
                <w:rFonts w:hint="eastAsia" w:ascii="宋体" w:hAnsi="宋体" w:cs="宋体"/>
                <w:sz w:val="24"/>
                <w:szCs w:val="24"/>
                <w:highlight w:val="none"/>
              </w:rPr>
            </w:r>
            <w:r/>
          </w:p>
        </w:tc>
      </w:tr>
    </w:tbl>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备注：</w:t>
      </w:r>
      <w:r/>
    </w:p>
    <w:p>
      <w:pPr>
        <w:spacing w:line="400" w:lineRule="exact"/>
        <w:rPr>
          <w:rFonts w:hint="eastAsia" w:ascii="宋体" w:hAnsi="宋体" w:cs="宋体"/>
          <w:highlight w:val="none"/>
        </w:rPr>
      </w:pPr>
      <w:r>
        <w:rPr>
          <w:rFonts w:hint="eastAsia" w:ascii="宋体" w:hAnsi="宋体" w:cs="宋体"/>
          <w:sz w:val="24"/>
          <w:szCs w:val="24"/>
          <w:highlight w:val="none"/>
        </w:rPr>
        <w:t xml:space="preserve">1.投标人必须对技术要求中的实质性要求</w:t>
      </w:r>
      <w:r>
        <w:rPr>
          <w:rFonts w:hint="eastAsia" w:ascii="宋体" w:hAnsi="宋体" w:cs="宋体"/>
          <w:i/>
          <w:sz w:val="24"/>
          <w:szCs w:val="24"/>
          <w:highlight w:val="none"/>
          <w:u w:val="single"/>
        </w:rPr>
        <w:t xml:space="preserve">（加斜体下划线内容）</w:t>
      </w:r>
      <w:r>
        <w:rPr>
          <w:rFonts w:hint="eastAsia" w:ascii="宋体" w:hAnsi="宋体" w:cs="宋体"/>
          <w:sz w:val="24"/>
          <w:szCs w:val="24"/>
          <w:highlight w:val="none"/>
        </w:rPr>
        <w:t xml:space="preserve">逐条做出明确响应，否则该采购包作无效投标处理。</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pStyle w:val="748"/>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87" w:name="_Toc1429"/>
      <w:r>
        <w:rPr>
          <w:rFonts w:hint="eastAsia" w:ascii="宋体" w:hAnsi="宋体" w:cs="宋体"/>
          <w:color w:val="000000"/>
          <w:highlight w:val="none"/>
        </w:rPr>
        <w:t xml:space="preserve">七、服务方案</w:t>
      </w:r>
      <w:bookmarkEnd w:id="187"/>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服务方案</w:t>
      </w:r>
      <w:r/>
    </w:p>
    <w:p>
      <w:pPr>
        <w:spacing w:before="240" w:after="240" w:line="85"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before="240" w:after="240" w:line="85"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（服务方案的内容编排等由投标人自定）</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pStyle w:val="748"/>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88" w:name="_Toc3010"/>
      <w:r>
        <w:rPr>
          <w:rFonts w:hint="eastAsia" w:ascii="宋体" w:hAnsi="宋体" w:cs="宋体"/>
          <w:color w:val="000000"/>
          <w:highlight w:val="none"/>
        </w:rPr>
        <w:t xml:space="preserve">八、投标人情况介绍（如有）</w:t>
      </w:r>
      <w:bookmarkEnd w:id="188"/>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850" w:gutter="0"/>
          <w:cols w:num="1" w:sep="0" w:space="720" w:equalWidth="1"/>
          <w:docGrid w:linePitch="360"/>
          <w:titlePg/>
        </w:sectPr>
      </w:pPr>
      <w:r>
        <w:rPr>
          <w:rFonts w:hint="eastAsia" w:ascii="宋体" w:hAnsi="宋体" w:cs="宋体"/>
          <w:highlight w:val="none"/>
        </w:rPr>
      </w:r>
      <w:r/>
    </w:p>
    <w:p>
      <w:pPr>
        <w:rPr>
          <w:rFonts w:hint="eastAsia" w:ascii="宋体" w:hAnsi="宋体" w:cs="宋体"/>
          <w:b/>
          <w:bCs/>
          <w:sz w:val="32"/>
          <w:szCs w:val="32"/>
          <w:highlight w:val="none"/>
        </w:rPr>
      </w:pPr>
      <w:r>
        <w:rPr>
          <w:rFonts w:ascii="宋体" w:hAnsi="宋体" w:cs="宋体"/>
          <w:b/>
          <w:color w:val="000000"/>
          <w:sz w:val="28"/>
          <w:highlight w:val="none"/>
        </w:rPr>
        <w:t xml:space="preserve">投标人</w:t>
      </w:r>
      <w:r>
        <w:rPr>
          <w:rFonts w:hint="eastAsia" w:ascii="宋体" w:hAnsi="宋体" w:cs="宋体"/>
          <w:b/>
          <w:sz w:val="28"/>
          <w:szCs w:val="28"/>
          <w:highlight w:val="none"/>
          <w:lang w:val="zh-CN"/>
        </w:rPr>
        <w:t xml:space="preserve">拟投入人员情况表</w:t>
      </w:r>
      <w:r/>
    </w:p>
    <w:p>
      <w:pPr>
        <w:pStyle w:val="1027"/>
        <w:ind w:firstLine="0"/>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t xml:space="preserve">拟投入人员情况表</w:t>
      </w:r>
      <w:r/>
    </w:p>
    <w:p>
      <w:pPr>
        <w:spacing w:line="360" w:lineRule="auto"/>
        <w:rPr>
          <w:rFonts w:hint="eastAsia" w:ascii="宋体" w:hAnsi="宋体" w:cs="宋体"/>
          <w:b/>
          <w:sz w:val="24"/>
          <w:szCs w:val="24"/>
          <w:highlight w:val="none"/>
          <w:lang w:val="zh-CN"/>
        </w:rPr>
      </w:pPr>
      <w:r/>
      <w:bookmarkStart w:id="189" w:name="_Hlk38575099"/>
      <w:r>
        <w:rPr>
          <w:rFonts w:hint="eastAsia" w:ascii="宋体" w:hAnsi="宋体" w:cs="宋体"/>
          <w:sz w:val="24"/>
          <w:szCs w:val="24"/>
          <w:highlight w:val="none"/>
          <w:lang w:val="zh-CN"/>
        </w:rPr>
        <w:t xml:space="preserve">项目名称：</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                 采购编号：</w:t>
      </w:r>
      <w:r>
        <w:rPr>
          <w:rFonts w:hint="eastAsia" w:ascii="宋体" w:hAnsi="宋体" w:cs="宋体"/>
          <w:sz w:val="24"/>
          <w:szCs w:val="24"/>
          <w:highlight w:val="none"/>
          <w:u w:val="single"/>
          <w:lang w:val="zh-CN"/>
        </w:rPr>
        <w:t xml:space="preserve">              </w:t>
      </w:r>
      <w:bookmarkEnd w:id="189"/>
      <w:r/>
      <w:r/>
    </w:p>
    <w:tbl>
      <w:tblPr>
        <w:tblStyle w:val="7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392"/>
        <w:gridCol w:w="1443"/>
        <w:gridCol w:w="850"/>
        <w:gridCol w:w="793"/>
        <w:gridCol w:w="1388"/>
        <w:gridCol w:w="1215"/>
        <w:gridCol w:w="1263"/>
      </w:tblGrid>
      <w:tr>
        <w:trPr>
          <w:jc w:val="center"/>
          <w:trHeight w:val="677"/>
        </w:trPr>
        <w:tc>
          <w:tcPr>
            <w:tcW w:w="904"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1392"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拟在本项目担任工作</w:t>
            </w:r>
            <w:r/>
          </w:p>
        </w:tc>
        <w:tc>
          <w:tcPr>
            <w:tcW w:w="144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姓名</w:t>
            </w:r>
            <w:r/>
          </w:p>
        </w:tc>
        <w:tc>
          <w:tcPr>
            <w:tcW w:w="850"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性别</w:t>
            </w:r>
            <w:r/>
          </w:p>
        </w:tc>
        <w:tc>
          <w:tcPr>
            <w:tcW w:w="79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年龄</w:t>
            </w:r>
            <w:r/>
          </w:p>
        </w:tc>
        <w:tc>
          <w:tcPr>
            <w:tcW w:w="1388"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学历/专业</w:t>
            </w:r>
            <w:r/>
          </w:p>
        </w:tc>
        <w:tc>
          <w:tcPr>
            <w:tcW w:w="121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职称/证书</w:t>
            </w:r>
            <w:r/>
          </w:p>
        </w:tc>
        <w:tc>
          <w:tcPr>
            <w:tcW w:w="126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备注</w:t>
            </w:r>
            <w:r/>
          </w:p>
        </w:tc>
      </w:tr>
      <w:tr>
        <w:trPr>
          <w:jc w:val="center"/>
          <w:trHeight w:val="567"/>
        </w:trPr>
        <w:tc>
          <w:tcPr>
            <w:tcW w:w="904"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392"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4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850"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79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88"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21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26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567"/>
        </w:trPr>
        <w:tc>
          <w:tcPr>
            <w:tcW w:w="904"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8</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9</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10</w:t>
            </w:r>
            <w:r/>
          </w:p>
        </w:tc>
        <w:tc>
          <w:tcPr>
            <w:tcW w:w="139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44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850"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79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388"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15"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6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1392"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44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850"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79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388"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15"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6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bl>
    <w:p>
      <w:pPr>
        <w:ind w:firstLine="420"/>
        <w:spacing w:line="500" w:lineRule="exact"/>
        <w:rPr>
          <w:rFonts w:hint="eastAsia" w:ascii="宋体" w:hAnsi="宋体" w:cs="宋体"/>
          <w:sz w:val="24"/>
          <w:szCs w:val="24"/>
          <w:highlight w:val="none"/>
          <w:lang w:val="zh-CN"/>
        </w:rPr>
      </w:pPr>
      <w:r/>
      <w:bookmarkStart w:id="190" w:name="_Hlk38575271"/>
      <w:r>
        <w:rPr>
          <w:rFonts w:hint="eastAsia" w:ascii="宋体" w:hAnsi="宋体" w:cs="宋体"/>
          <w:sz w:val="24"/>
          <w:szCs w:val="24"/>
          <w:highlight w:val="none"/>
          <w:lang w:val="zh-CN"/>
        </w:rPr>
        <w:t xml:space="preserve">注：1、本表格式仅供参考，投标人可根据自身情况自行增减；</w:t>
      </w:r>
      <w:r/>
    </w:p>
    <w:p>
      <w:pPr>
        <w:ind w:firstLine="420"/>
        <w:spacing w:line="5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2、如</w:t>
      </w:r>
      <w:r>
        <w:rPr>
          <w:rFonts w:hint="eastAsia" w:ascii="宋体" w:hAnsi="宋体" w:cs="宋体"/>
          <w:sz w:val="24"/>
          <w:szCs w:val="24"/>
          <w:highlight w:val="none"/>
        </w:rPr>
        <w:t xml:space="preserve">招标</w:t>
      </w:r>
      <w:r>
        <w:rPr>
          <w:rFonts w:hint="eastAsia" w:ascii="宋体" w:hAnsi="宋体" w:cs="宋体"/>
          <w:sz w:val="24"/>
          <w:szCs w:val="24"/>
          <w:highlight w:val="none"/>
          <w:lang w:val="zh-CN"/>
        </w:rPr>
        <w:t xml:space="preserve">文件有要求，投标人拟投入人员数量、资格须满足招标文件要求；</w:t>
      </w:r>
      <w:r/>
    </w:p>
    <w:p>
      <w:pPr>
        <w:ind w:firstLine="420"/>
        <w:spacing w:line="5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3、如</w:t>
      </w:r>
      <w:r>
        <w:rPr>
          <w:rFonts w:hint="eastAsia" w:ascii="宋体" w:hAnsi="宋体" w:cs="宋体"/>
          <w:sz w:val="24"/>
          <w:szCs w:val="24"/>
          <w:highlight w:val="none"/>
        </w:rPr>
        <w:t xml:space="preserve">招标</w:t>
      </w:r>
      <w:r>
        <w:rPr>
          <w:rFonts w:hint="eastAsia" w:ascii="宋体" w:hAnsi="宋体" w:cs="宋体"/>
          <w:sz w:val="24"/>
          <w:szCs w:val="24"/>
          <w:highlight w:val="none"/>
          <w:lang w:val="zh-CN"/>
        </w:rPr>
        <w:t xml:space="preserve">文件有要求，投标人应按</w:t>
      </w:r>
      <w:r>
        <w:rPr>
          <w:rFonts w:hint="eastAsia" w:ascii="宋体" w:hAnsi="宋体" w:cs="宋体"/>
          <w:sz w:val="24"/>
          <w:szCs w:val="24"/>
          <w:highlight w:val="none"/>
        </w:rPr>
        <w:t xml:space="preserve">招标</w:t>
      </w:r>
      <w:r>
        <w:rPr>
          <w:rFonts w:hint="eastAsia" w:ascii="宋体" w:hAnsi="宋体" w:cs="宋体"/>
          <w:sz w:val="24"/>
          <w:szCs w:val="24"/>
          <w:highlight w:val="none"/>
          <w:lang w:val="zh-CN"/>
        </w:rPr>
        <w:t xml:space="preserve">文件要求提供拟投入人员的相关证书及社保证明等材料。</w:t>
      </w:r>
      <w:bookmarkEnd w:id="190"/>
      <w:r/>
      <w:r/>
    </w:p>
    <w:p>
      <w:pPr>
        <w:ind w:firstLine="425"/>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384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投标单位（单位盖章）： </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rPr>
          <w:rFonts w:hint="eastAsia"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highlight w:val="none"/>
        </w:rPr>
        <w:t xml:space="preserve">类似业绩一览表</w:t>
      </w:r>
      <w:r/>
    </w:p>
    <w:p>
      <w:pPr>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类似业绩一览表</w:t>
      </w:r>
      <w:r/>
    </w:p>
    <w:tbl>
      <w:tblPr>
        <w:tblStyle w:val="781"/>
        <w:tblW w:w="91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3"/>
        <w:gridCol w:w="2227"/>
        <w:gridCol w:w="3331"/>
        <w:gridCol w:w="2424"/>
      </w:tblGrid>
      <w:tr>
        <w:trPr>
          <w:trHeight w:val="567"/>
        </w:trPr>
        <w:tc>
          <w:tcPr>
            <w:tcMar>
              <w:left w:w="0" w:type="dxa"/>
              <w:top w:w="0" w:type="dxa"/>
              <w:right w:w="0" w:type="dxa"/>
              <w:bottom w:w="0" w:type="dxa"/>
            </w:tcMar>
            <w:tcW w:w="1123"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序号</w:t>
            </w:r>
            <w:r/>
          </w:p>
        </w:tc>
        <w:tc>
          <w:tcPr>
            <w:tcMar>
              <w:left w:w="0" w:type="dxa"/>
              <w:top w:w="0" w:type="dxa"/>
              <w:right w:w="0" w:type="dxa"/>
              <w:bottom w:w="0" w:type="dxa"/>
            </w:tcMar>
            <w:tcW w:w="2227"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p>
        </w:tc>
        <w:tc>
          <w:tcPr>
            <w:tcMar>
              <w:left w:w="0" w:type="dxa"/>
              <w:top w:w="0" w:type="dxa"/>
              <w:right w:w="0" w:type="dxa"/>
              <w:bottom w:w="0" w:type="dxa"/>
            </w:tcMar>
            <w:tcW w:w="3331"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合同期（天）</w:t>
            </w:r>
            <w:r/>
          </w:p>
        </w:tc>
        <w:tc>
          <w:tcPr>
            <w:tcMar>
              <w:left w:w="0" w:type="dxa"/>
              <w:top w:w="0" w:type="dxa"/>
              <w:right w:w="0" w:type="dxa"/>
              <w:bottom w:w="0" w:type="dxa"/>
            </w:tcMar>
            <w:tcW w:w="2424"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合同金额</w:t>
            </w:r>
            <w:r/>
          </w:p>
        </w:tc>
      </w:tr>
      <w:tr>
        <w:trPr>
          <w:trHeight w:val="567"/>
        </w:trPr>
        <w:tc>
          <w:tcPr>
            <w:tcMar>
              <w:left w:w="0" w:type="dxa"/>
              <w:top w:w="0" w:type="dxa"/>
              <w:right w:w="0" w:type="dxa"/>
              <w:bottom w:w="0" w:type="dxa"/>
            </w:tcMar>
            <w:tcW w:w="1123"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2227"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3331"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2424"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r>
    </w:tbl>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pStyle w:val="748"/>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91" w:name="_Toc25760"/>
      <w:r>
        <w:rPr>
          <w:rFonts w:hint="eastAsia" w:ascii="宋体" w:hAnsi="宋体" w:cs="宋体"/>
          <w:color w:val="000000"/>
          <w:highlight w:val="none"/>
        </w:rPr>
        <w:t xml:space="preserve">九、服务要求响应及偏离表</w:t>
      </w:r>
      <w:bookmarkEnd w:id="191"/>
      <w:r/>
      <w:r/>
    </w:p>
    <w:p>
      <w:pPr>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服务要求响应及偏离表</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bl>
      <w:tblPr>
        <w:tblStyle w:val="781"/>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925"/>
        <w:gridCol w:w="1802"/>
        <w:gridCol w:w="1817"/>
        <w:gridCol w:w="1776"/>
        <w:gridCol w:w="2041"/>
      </w:tblGrid>
      <w:tr>
        <w:trPr>
          <w:jc w:val="center"/>
          <w:trHeight w:val="567"/>
        </w:trPr>
        <w:tc>
          <w:tcPr>
            <w:tcMar>
              <w:left w:w="0" w:type="dxa"/>
              <w:top w:w="0" w:type="dxa"/>
              <w:right w:w="0" w:type="dxa"/>
              <w:bottom w:w="0" w:type="dxa"/>
            </w:tcMar>
            <w:tcW w:w="683"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序号</w:t>
            </w:r>
            <w:r/>
          </w:p>
        </w:tc>
        <w:tc>
          <w:tcPr>
            <w:tcMar>
              <w:left w:w="0" w:type="dxa"/>
              <w:top w:w="0" w:type="dxa"/>
              <w:right w:w="0" w:type="dxa"/>
              <w:bottom w:w="0" w:type="dxa"/>
            </w:tcMar>
            <w:tcW w:w="925"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名称</w:t>
            </w:r>
            <w:r/>
          </w:p>
        </w:tc>
        <w:tc>
          <w:tcPr>
            <w:tcMar>
              <w:left w:w="0" w:type="dxa"/>
              <w:top w:w="0" w:type="dxa"/>
              <w:right w:w="0" w:type="dxa"/>
              <w:bottom w:w="0" w:type="dxa"/>
            </w:tcMar>
            <w:tcW w:w="1802"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招标文件要求</w:t>
            </w:r>
            <w:r/>
          </w:p>
        </w:tc>
        <w:tc>
          <w:tcPr>
            <w:tcMar>
              <w:left w:w="0" w:type="dxa"/>
              <w:top w:w="0" w:type="dxa"/>
              <w:right w:w="0" w:type="dxa"/>
              <w:bottom w:w="0" w:type="dxa"/>
            </w:tcMar>
            <w:tcW w:w="1817"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投标文件响应</w:t>
            </w:r>
            <w:r/>
          </w:p>
        </w:tc>
        <w:tc>
          <w:tcPr>
            <w:tcMar>
              <w:left w:w="0" w:type="dxa"/>
              <w:top w:w="0" w:type="dxa"/>
              <w:right w:w="0" w:type="dxa"/>
              <w:bottom w:w="0" w:type="dxa"/>
            </w:tcMar>
            <w:tcW w:w="1776"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有无偏离</w:t>
            </w:r>
            <w:r/>
          </w:p>
        </w:tc>
        <w:tc>
          <w:tcPr>
            <w:tcMar>
              <w:left w:w="0" w:type="dxa"/>
              <w:top w:w="0" w:type="dxa"/>
              <w:right w:w="0" w:type="dxa"/>
              <w:bottom w:w="0" w:type="dxa"/>
            </w:tcMar>
            <w:tcW w:w="2041"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偏离内容及原因</w:t>
            </w:r>
            <w:r/>
          </w:p>
        </w:tc>
      </w:tr>
      <w:tr>
        <w:trPr>
          <w:jc w:val="center"/>
          <w:trHeight w:val="567"/>
        </w:trPr>
        <w:tc>
          <w:tcPr>
            <w:tcMar>
              <w:left w:w="0" w:type="dxa"/>
              <w:top w:w="0" w:type="dxa"/>
              <w:right w:w="0" w:type="dxa"/>
              <w:bottom w:w="0" w:type="dxa"/>
            </w:tcMar>
            <w:tcW w:w="683" w:type="dxa"/>
            <w:vAlign w:val="center"/>
            <w:textDirection w:val="lrTb"/>
            <w:noWrap w:val="false"/>
          </w:tcPr>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925" w:type="dxa"/>
            <w:vAlign w:val="center"/>
            <w:textDirection w:val="lrTb"/>
            <w:noWrap w:val="false"/>
          </w:tcPr>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1802" w:type="dxa"/>
            <w:vAlign w:val="center"/>
            <w:textDirection w:val="lrTb"/>
            <w:noWrap w:val="false"/>
          </w:tcPr>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1817" w:type="dxa"/>
            <w:vAlign w:val="center"/>
            <w:textDirection w:val="lrTb"/>
            <w:noWrap w:val="false"/>
          </w:tcPr>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1776" w:type="dxa"/>
            <w:vAlign w:val="center"/>
            <w:textDirection w:val="lrTb"/>
            <w:noWrap w:val="false"/>
          </w:tcPr>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2041" w:type="dxa"/>
            <w:vAlign w:val="center"/>
            <w:textDirection w:val="lrTb"/>
            <w:noWrap w:val="false"/>
          </w:tcPr>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r>
    </w:tbl>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2、表格不够可另接。</w:t>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pStyle w:val="748"/>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92" w:name="_Toc2185"/>
      <w:r>
        <w:rPr>
          <w:rFonts w:hint="eastAsia" w:ascii="宋体" w:hAnsi="宋体" w:cs="宋体"/>
          <w:color w:val="000000"/>
          <w:highlight w:val="none"/>
        </w:rPr>
        <w:t xml:space="preserve">十、商务条款响应及偏离表</w:t>
      </w:r>
      <w:bookmarkEnd w:id="192"/>
      <w:r/>
      <w:r/>
    </w:p>
    <w:p>
      <w:pPr>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before="120"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t xml:space="preserve">商务条款响应及偏离表 </w:t>
      </w:r>
      <w:r/>
    </w:p>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bl>
      <w:tblPr>
        <w:tblStyle w:val="781"/>
        <w:tblW w:w="9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9"/>
        <w:gridCol w:w="2475"/>
        <w:gridCol w:w="1191"/>
        <w:gridCol w:w="3180"/>
      </w:tblGrid>
      <w:tr>
        <w:trPr>
          <w:trHeight w:val="567"/>
        </w:trPr>
        <w:tc>
          <w:tcPr>
            <w:tcMar>
              <w:left w:w="0" w:type="dxa"/>
              <w:top w:w="0" w:type="dxa"/>
              <w:right w:w="0" w:type="dxa"/>
              <w:bottom w:w="0" w:type="dxa"/>
            </w:tcMar>
            <w:tcW w:w="2209"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w:t>
            </w:r>
            <w:r/>
          </w:p>
        </w:tc>
        <w:tc>
          <w:tcPr>
            <w:tcMar>
              <w:left w:w="0" w:type="dxa"/>
              <w:top w:w="0" w:type="dxa"/>
              <w:right w:w="0" w:type="dxa"/>
              <w:bottom w:w="0" w:type="dxa"/>
            </w:tcMar>
            <w:tcW w:w="2475"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招标文件要求</w:t>
            </w:r>
            <w:r/>
          </w:p>
        </w:tc>
        <w:tc>
          <w:tcPr>
            <w:tcMar>
              <w:left w:w="0" w:type="dxa"/>
              <w:top w:w="0" w:type="dxa"/>
              <w:right w:w="0" w:type="dxa"/>
              <w:bottom w:w="0" w:type="dxa"/>
            </w:tcMar>
            <w:tcW w:w="1191"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是否响应</w:t>
            </w:r>
            <w:r/>
          </w:p>
        </w:tc>
        <w:tc>
          <w:tcPr>
            <w:tcMar>
              <w:left w:w="0" w:type="dxa"/>
              <w:top w:w="0" w:type="dxa"/>
              <w:right w:w="0" w:type="dxa"/>
              <w:bottom w:w="0" w:type="dxa"/>
            </w:tcMar>
            <w:tcW w:w="3180"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投标人的承诺或说明</w:t>
            </w:r>
            <w:r/>
          </w:p>
        </w:tc>
      </w:tr>
      <w:tr>
        <w:trPr>
          <w:trHeight w:val="567"/>
        </w:trPr>
        <w:tc>
          <w:tcPr>
            <w:tcMar>
              <w:left w:w="0" w:type="dxa"/>
              <w:top w:w="0" w:type="dxa"/>
              <w:right w:w="0" w:type="dxa"/>
              <w:bottom w:w="0" w:type="dxa"/>
            </w:tcMar>
            <w:tcW w:w="2209"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2475"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1191"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0" w:type="dxa"/>
              <w:top w:w="0" w:type="dxa"/>
              <w:right w:w="0" w:type="dxa"/>
              <w:bottom w:w="0" w:type="dxa"/>
            </w:tcMar>
            <w:tcW w:w="3180" w:type="dxa"/>
            <w:vAlign w:val="center"/>
            <w:textDirection w:val="lrTb"/>
            <w:noWrap w:val="false"/>
          </w:tcPr>
          <w:p>
            <w:pPr>
              <w:jc w:val="cente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r>
    </w:tbl>
    <w:p>
      <w:pPr>
        <w:spacing w:before="240" w:after="24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pStyle w:val="748"/>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93" w:name="_Toc32566"/>
      <w:r>
        <w:rPr>
          <w:rFonts w:hint="eastAsia" w:ascii="宋体" w:hAnsi="宋体" w:cs="宋体"/>
          <w:color w:val="000000"/>
          <w:highlight w:val="none"/>
        </w:rPr>
        <w:t xml:space="preserve">十一、其他材料（如有）</w:t>
      </w:r>
      <w:bookmarkEnd w:id="193"/>
      <w:r/>
      <w:r/>
    </w:p>
    <w:p>
      <w:pPr>
        <w:rPr>
          <w:rFonts w:hint="eastAsia" w:ascii="宋体" w:hAnsi="宋体" w:cs="宋体"/>
          <w:highlight w:val="none"/>
        </w:rPr>
      </w:pPr>
      <w:r>
        <w:rPr>
          <w:rFonts w:hint="eastAsia" w:ascii="宋体" w:hAnsi="宋体" w:cs="宋体"/>
          <w:highlight w:val="none"/>
        </w:rPr>
      </w:r>
      <w:r/>
    </w:p>
    <w:sectPr>
      <w:footnotePr/>
      <w:endnotePr/>
      <w:type w:val="nextPage"/>
      <w:pgSz w:w="11906" w:h="16838" w:orient="portrait"/>
      <w:pgMar w:top="1418" w:right="1418" w:bottom="1418" w:left="1418" w:header="851"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2411730</wp:posOffset>
              </wp:positionH>
              <wp:positionV relativeFrom="paragraph">
                <wp:posOffset>0</wp:posOffset>
              </wp:positionV>
              <wp:extent cx="1290955" cy="257810"/>
              <wp:effectExtent l="0" t="0" r="0" b="0"/>
              <wp:wrapNone/>
              <wp:docPr id="1" name="Text Box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90955" cy="257810"/>
                      </a:xfrm>
                      <a:prstGeom prst="rect">
                        <a:avLst/>
                      </a:prstGeom>
                      <a:noFill/>
                      <a:ln>
                        <a:noFill/>
                      </a:ln>
                    </wps:spPr>
                    <wps:txbx>
                      <w:txbxContent>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argin-left:189.9pt;mso-position-horizontal:absolute;mso-position-vertical-relative:text;margin-top:0.0pt;mso-position-vertical:absolute;width:101.6pt;height:20.3pt;mso-wrap-distance-left:9.0pt;mso-wrap-distance-top:0.0pt;mso-wrap-distance-right:9.0pt;mso-wrap-distance-bottom:0.0pt;v-text-anchor:top;visibility:visible;" filled="f" stroked="f">
              <v:textbox inset="0,0,0,0">
                <w:txbxContent>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framePr w:wrap="around" w:vAnchor="text" w:hAnchor="margin" w:xAlign="right" w:y="1"/>
    </w:pPr>
    <w:r>
      <w:fldChar w:fldCharType="begin"/>
    </w:r>
    <w:r>
      <w:rPr>
        <w:color w:val="000000"/>
        <w:highlight w:val="white"/>
      </w:rPr>
      <w:instrText xml:space="preserve">PAGE  </w:instrText>
    </w:r>
    <w:r>
      <w:fldChar w:fldCharType="end"/>
    </w:r>
    <w:r/>
  </w:p>
  <w:p>
    <w:pPr>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81455" cy="266700"/>
              <wp:effectExtent l="0" t="0" r="0" b="0"/>
              <wp:wrapNone/>
              <wp:docPr id="2" name="Text Box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481455" cy="266700"/>
                      </a:xfrm>
                      <a:prstGeom prst="rect">
                        <a:avLst/>
                      </a:prstGeom>
                      <a:noFill/>
                      <a:ln>
                        <a:noFill/>
                      </a:ln>
                    </wps:spPr>
                    <wps:txbx>
                      <w:txbxContent>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w:t>
                          </w:r>
                          <w:r>
                            <w:fldChar w:fldCharType="end"/>
                          </w:r>
                          <w:r/>
                        </w:p>
                      </w:txbxContent>
                    </wps:txbx>
                    <wps:bodyPr rot="0" vert="horz" wrap="square" lIns="0" tIns="0" rIns="0" bIns="0" anchor="t" anchorCtr="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6.6pt;height:21.0pt;mso-wrap-distance-left:9.0pt;mso-wrap-distance-top:0.0pt;mso-wrap-distance-right:9.0pt;mso-wrap-distance-bottom:0.0pt;v-text-anchor:top;visibility:visible;" filled="f" stroked="f">
              <v:textbox inset="0,0,0,0">
                <w:txbxContent>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752"/>
      <w:isLgl w:val="false"/>
      <w:suff w:val="nothing"/>
      <w:lvlText w:val=""/>
      <w:lvlJc w:val="left"/>
      <w:pPr>
        <w:ind w:left="0" w:firstLine="0"/>
        <w:tabs>
          <w:tab w:val="left" w:pos="0" w:leader="none"/>
        </w:tabs>
      </w:pPr>
    </w:lvl>
    <w:lvl w:ilvl="6">
      <w:start w:val="1"/>
      <w:numFmt w:val="decimal"/>
      <w:pStyle w:val="753"/>
      <w:isLgl w:val="false"/>
      <w:suff w:val="nothing"/>
      <w:lvlText w:val=""/>
      <w:lvlJc w:val="left"/>
      <w:pPr>
        <w:ind w:left="0" w:firstLine="0"/>
        <w:tabs>
          <w:tab w:val="left" w:pos="0" w:leader="none"/>
        </w:tabs>
      </w:pPr>
    </w:lvl>
    <w:lvl w:ilvl="7">
      <w:start w:val="1"/>
      <w:numFmt w:val="decimal"/>
      <w:pStyle w:val="754"/>
      <w:isLgl w:val="false"/>
      <w:suff w:val="nothing"/>
      <w:lvlText w:val=""/>
      <w:lvlJc w:val="left"/>
      <w:pPr>
        <w:ind w:left="0" w:firstLine="0"/>
        <w:tabs>
          <w:tab w:val="left" w:pos="0" w:leader="none"/>
        </w:tabs>
      </w:pPr>
    </w:lvl>
    <w:lvl w:ilvl="8">
      <w:start w:val="1"/>
      <w:numFmt w:val="decimal"/>
      <w:pStyle w:val="755"/>
      <w:isLgl w:val="false"/>
      <w:suff w:val="nothing"/>
      <w:lvlText w:val=""/>
      <w:lvlJc w:val="left"/>
      <w:pPr>
        <w:ind w:left="0" w:firstLine="0"/>
        <w:tabs>
          <w:tab w:val="left" w:pos="0"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6">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3">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4">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5">
    <w:name w:val="TOC Heading"/>
    <w:uiPriority w:val="39"/>
    <w:unhideWhenUsed/>
  </w:style>
  <w:style w:type="paragraph" w:styleId="74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47">
    <w:name w:val="Heading 1"/>
    <w:basedOn w:val="746"/>
    <w:next w:val="746"/>
    <w:link w:val="788"/>
    <w:uiPriority w:val="9"/>
    <w:qFormat/>
    <w:pPr>
      <w:jc w:val="center"/>
      <w:keepNext/>
      <w:spacing w:before="50" w:after="50"/>
      <w:outlineLvl w:val="0"/>
    </w:pPr>
    <w:rPr>
      <w:rFonts w:ascii="楷体_GB2312" w:hAnsi="宋体"/>
      <w:b/>
      <w:sz w:val="44"/>
      <w:szCs w:val="28"/>
    </w:rPr>
  </w:style>
  <w:style w:type="paragraph" w:styleId="748">
    <w:name w:val="Heading 2"/>
    <w:basedOn w:val="746"/>
    <w:next w:val="746"/>
    <w:link w:val="945"/>
    <w:uiPriority w:val="0"/>
    <w:qFormat/>
    <w:pPr>
      <w:jc w:val="left"/>
      <w:keepLines/>
      <w:keepNext/>
      <w:spacing w:before="120" w:after="120"/>
      <w:outlineLvl w:val="1"/>
    </w:pPr>
    <w:rPr>
      <w:rFonts w:ascii="Arial" w:hAnsi="Arial"/>
      <w:b/>
      <w:bCs/>
      <w:sz w:val="28"/>
      <w:szCs w:val="44"/>
    </w:rPr>
  </w:style>
  <w:style w:type="paragraph" w:styleId="749">
    <w:name w:val="Heading 3"/>
    <w:basedOn w:val="746"/>
    <w:next w:val="746"/>
    <w:link w:val="946"/>
    <w:uiPriority w:val="9"/>
    <w:qFormat/>
    <w:pPr>
      <w:keepLines/>
      <w:keepNext/>
      <w:spacing w:before="260" w:after="260" w:line="415" w:lineRule="auto"/>
      <w:outlineLvl w:val="2"/>
    </w:pPr>
    <w:rPr>
      <w:b/>
      <w:bCs/>
      <w:sz w:val="32"/>
      <w:szCs w:val="32"/>
    </w:rPr>
  </w:style>
  <w:style w:type="paragraph" w:styleId="750">
    <w:name w:val="Heading 4"/>
    <w:basedOn w:val="746"/>
    <w:next w:val="746"/>
    <w:link w:val="947"/>
    <w:uiPriority w:val="9"/>
    <w:qFormat/>
    <w:pPr>
      <w:keepLines/>
      <w:keepNext/>
      <w:spacing w:before="280" w:after="290" w:line="376" w:lineRule="auto"/>
      <w:outlineLvl w:val="3"/>
    </w:pPr>
    <w:rPr>
      <w:rFonts w:ascii="Arial" w:hAnsi="Arial" w:eastAsia="黑体"/>
      <w:b/>
      <w:bCs/>
      <w:sz w:val="28"/>
      <w:szCs w:val="28"/>
    </w:rPr>
  </w:style>
  <w:style w:type="paragraph" w:styleId="751">
    <w:name w:val="Heading 5"/>
    <w:basedOn w:val="746"/>
    <w:next w:val="746"/>
    <w:link w:val="948"/>
    <w:uiPriority w:val="0"/>
    <w:qFormat/>
    <w:pPr>
      <w:keepNext/>
      <w:outlineLvl w:val="4"/>
    </w:pPr>
    <w:rPr>
      <w:rFonts w:ascii="宋体" w:hAnsi="宋体"/>
      <w:color w:val="000000"/>
      <w:sz w:val="28"/>
      <w:szCs w:val="28"/>
    </w:rPr>
  </w:style>
  <w:style w:type="paragraph" w:styleId="752">
    <w:name w:val="Heading 6"/>
    <w:basedOn w:val="746"/>
    <w:next w:val="746"/>
    <w:link w:val="949"/>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753">
    <w:name w:val="Heading 7"/>
    <w:basedOn w:val="746"/>
    <w:next w:val="746"/>
    <w:link w:val="950"/>
    <w:uiPriority w:val="0"/>
    <w:qFormat/>
    <w:pPr>
      <w:numPr>
        <w:ilvl w:val="6"/>
        <w:numId w:val="1"/>
      </w:numPr>
      <w:keepLines/>
      <w:keepNext/>
      <w:spacing w:before="240" w:after="64" w:line="319" w:lineRule="auto"/>
      <w:outlineLvl w:val="6"/>
    </w:pPr>
    <w:rPr>
      <w:b/>
      <w:bCs/>
      <w:sz w:val="24"/>
    </w:rPr>
  </w:style>
  <w:style w:type="paragraph" w:styleId="754">
    <w:name w:val="Heading 8"/>
    <w:basedOn w:val="746"/>
    <w:next w:val="746"/>
    <w:link w:val="951"/>
    <w:uiPriority w:val="0"/>
    <w:qFormat/>
    <w:pPr>
      <w:numPr>
        <w:ilvl w:val="7"/>
        <w:numId w:val="1"/>
      </w:numPr>
      <w:keepLines/>
      <w:keepNext/>
      <w:spacing w:before="240" w:after="64" w:line="319" w:lineRule="auto"/>
      <w:outlineLvl w:val="7"/>
    </w:pPr>
    <w:rPr>
      <w:rFonts w:ascii="Arial" w:hAnsi="Arial" w:eastAsia="黑体"/>
      <w:sz w:val="24"/>
    </w:rPr>
  </w:style>
  <w:style w:type="paragraph" w:styleId="755">
    <w:name w:val="Heading 9"/>
    <w:basedOn w:val="746"/>
    <w:next w:val="746"/>
    <w:link w:val="952"/>
    <w:uiPriority w:val="0"/>
    <w:qFormat/>
    <w:pPr>
      <w:numPr>
        <w:ilvl w:val="8"/>
        <w:numId w:val="1"/>
      </w:numPr>
      <w:keepLines/>
      <w:keepNext/>
      <w:spacing w:before="240" w:after="64" w:line="319" w:lineRule="auto"/>
      <w:outlineLvl w:val="8"/>
    </w:pPr>
    <w:rPr>
      <w:rFonts w:ascii="Arial" w:hAnsi="Arial" w:eastAsia="黑体"/>
      <w:szCs w:val="21"/>
    </w:rPr>
  </w:style>
  <w:style w:type="character" w:styleId="756" w:default="1">
    <w:name w:val="Default Paragraph Font"/>
    <w:uiPriority w:val="1"/>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701"/>
      <w:spacing w:after="57"/>
    </w:pPr>
  </w:style>
  <w:style w:type="paragraph" w:styleId="759">
    <w:name w:val="Caption"/>
    <w:basedOn w:val="746"/>
    <w:next w:val="746"/>
    <w:uiPriority w:val="35"/>
    <w:semiHidden/>
    <w:unhideWhenUsed/>
    <w:qFormat/>
    <w:pPr>
      <w:spacing w:line="276" w:lineRule="auto"/>
    </w:pPr>
    <w:rPr>
      <w:b/>
      <w:bCs/>
      <w:color w:val="4f81bd"/>
      <w:sz w:val="18"/>
      <w:szCs w:val="18"/>
    </w:rPr>
  </w:style>
  <w:style w:type="paragraph" w:styleId="760">
    <w:name w:val="annotation text"/>
    <w:basedOn w:val="746"/>
    <w:link w:val="953"/>
    <w:uiPriority w:val="99"/>
    <w:unhideWhenUsed/>
    <w:qFormat/>
    <w:pPr>
      <w:jc w:val="left"/>
    </w:pPr>
  </w:style>
  <w:style w:type="paragraph" w:styleId="761">
    <w:name w:val="Body Text Indent"/>
    <w:basedOn w:val="746"/>
    <w:next w:val="746"/>
    <w:uiPriority w:val="0"/>
    <w:qFormat/>
    <w:pPr>
      <w:ind w:left="420"/>
      <w:spacing w:after="120"/>
    </w:pPr>
  </w:style>
  <w:style w:type="paragraph" w:styleId="762">
    <w:name w:val="toc 5"/>
    <w:basedOn w:val="746"/>
    <w:next w:val="746"/>
    <w:uiPriority w:val="39"/>
    <w:unhideWhenUsed/>
    <w:qFormat/>
    <w:pPr>
      <w:ind w:left="1134"/>
      <w:spacing w:after="57"/>
    </w:pPr>
  </w:style>
  <w:style w:type="paragraph" w:styleId="763">
    <w:name w:val="toc 3"/>
    <w:basedOn w:val="746"/>
    <w:next w:val="746"/>
    <w:uiPriority w:val="39"/>
    <w:unhideWhenUsed/>
    <w:qFormat/>
    <w:pPr>
      <w:ind w:left="567"/>
      <w:spacing w:after="57"/>
    </w:pPr>
  </w:style>
  <w:style w:type="paragraph" w:styleId="764">
    <w:name w:val="toc 8"/>
    <w:basedOn w:val="746"/>
    <w:next w:val="746"/>
    <w:uiPriority w:val="39"/>
    <w:unhideWhenUsed/>
    <w:qFormat/>
    <w:pPr>
      <w:ind w:left="1984"/>
      <w:spacing w:after="57"/>
    </w:pPr>
  </w:style>
  <w:style w:type="paragraph" w:styleId="765">
    <w:name w:val="endnote text"/>
    <w:basedOn w:val="746"/>
    <w:link w:val="943"/>
    <w:uiPriority w:val="99"/>
    <w:semiHidden/>
    <w:unhideWhenUsed/>
    <w:qFormat/>
    <w:rPr>
      <w:sz w:val="20"/>
    </w:rPr>
  </w:style>
  <w:style w:type="paragraph" w:styleId="766">
    <w:name w:val="Balloon Text"/>
    <w:basedOn w:val="746"/>
    <w:link w:val="954"/>
    <w:uiPriority w:val="99"/>
    <w:unhideWhenUsed/>
    <w:qFormat/>
    <w:rPr>
      <w:sz w:val="18"/>
      <w:szCs w:val="18"/>
    </w:rPr>
  </w:style>
  <w:style w:type="paragraph" w:styleId="767">
    <w:name w:val="Footer"/>
    <w:basedOn w:val="746"/>
    <w:link w:val="955"/>
    <w:uiPriority w:val="99"/>
    <w:qFormat/>
    <w:pPr>
      <w:jc w:val="left"/>
      <w:tabs>
        <w:tab w:val="center" w:pos="4153" w:leader="none"/>
        <w:tab w:val="right" w:pos="8306" w:leader="none"/>
      </w:tabs>
    </w:pPr>
    <w:rPr>
      <w:sz w:val="18"/>
      <w:szCs w:val="18"/>
    </w:rPr>
  </w:style>
  <w:style w:type="paragraph" w:styleId="768">
    <w:name w:val="Header"/>
    <w:basedOn w:val="746"/>
    <w:link w:val="95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69">
    <w:name w:val="toc 1"/>
    <w:basedOn w:val="746"/>
    <w:next w:val="746"/>
    <w:uiPriority w:val="39"/>
    <w:unhideWhenUsed/>
    <w:qFormat/>
  </w:style>
  <w:style w:type="paragraph" w:styleId="770">
    <w:name w:val="toc 4"/>
    <w:basedOn w:val="746"/>
    <w:next w:val="746"/>
    <w:uiPriority w:val="39"/>
    <w:unhideWhenUsed/>
    <w:qFormat/>
    <w:pPr>
      <w:ind w:left="850"/>
      <w:spacing w:after="57"/>
    </w:pPr>
  </w:style>
  <w:style w:type="paragraph" w:styleId="771">
    <w:name w:val="Subtitle"/>
    <w:basedOn w:val="746"/>
    <w:next w:val="746"/>
    <w:link w:val="828"/>
    <w:uiPriority w:val="11"/>
    <w:qFormat/>
    <w:pPr>
      <w:spacing w:before="200" w:after="200"/>
    </w:pPr>
    <w:rPr>
      <w:sz w:val="24"/>
      <w:szCs w:val="24"/>
    </w:rPr>
  </w:style>
  <w:style w:type="paragraph" w:styleId="772">
    <w:name w:val="footnote text"/>
    <w:basedOn w:val="746"/>
    <w:link w:val="942"/>
    <w:uiPriority w:val="99"/>
    <w:semiHidden/>
    <w:unhideWhenUsed/>
    <w:qFormat/>
    <w:pPr>
      <w:spacing w:after="40"/>
    </w:pPr>
    <w:rPr>
      <w:sz w:val="18"/>
    </w:rPr>
  </w:style>
  <w:style w:type="paragraph" w:styleId="773">
    <w:name w:val="toc 6"/>
    <w:basedOn w:val="746"/>
    <w:next w:val="746"/>
    <w:uiPriority w:val="39"/>
    <w:unhideWhenUsed/>
    <w:qFormat/>
    <w:pPr>
      <w:ind w:left="1417"/>
      <w:spacing w:after="57"/>
    </w:pPr>
  </w:style>
  <w:style w:type="paragraph" w:styleId="774">
    <w:name w:val="table of figures"/>
    <w:basedOn w:val="746"/>
    <w:next w:val="746"/>
    <w:uiPriority w:val="99"/>
    <w:unhideWhenUsed/>
    <w:qFormat/>
  </w:style>
  <w:style w:type="paragraph" w:styleId="775">
    <w:name w:val="toc 2"/>
    <w:basedOn w:val="746"/>
    <w:next w:val="746"/>
    <w:uiPriority w:val="39"/>
    <w:unhideWhenUsed/>
    <w:qFormat/>
    <w:pPr>
      <w:ind w:left="420"/>
    </w:pPr>
  </w:style>
  <w:style w:type="paragraph" w:styleId="776">
    <w:name w:val="toc 9"/>
    <w:basedOn w:val="746"/>
    <w:next w:val="746"/>
    <w:uiPriority w:val="39"/>
    <w:unhideWhenUsed/>
    <w:qFormat/>
    <w:pPr>
      <w:ind w:left="2268"/>
      <w:spacing w:after="57"/>
    </w:pPr>
  </w:style>
  <w:style w:type="paragraph" w:styleId="777">
    <w:name w:val="Normal (Web)"/>
    <w:basedOn w:val="746"/>
    <w:uiPriority w:val="99"/>
    <w:semiHidden/>
    <w:unhideWhenUsed/>
    <w:qFormat/>
    <w:pPr>
      <w:jc w:val="left"/>
      <w:spacing w:beforeAutospacing="1" w:afterAutospacing="1"/>
      <w:widowControl/>
    </w:pPr>
    <w:rPr>
      <w:rFonts w:ascii="宋体" w:hAnsi="宋体"/>
      <w:sz w:val="24"/>
      <w:szCs w:val="24"/>
    </w:rPr>
  </w:style>
  <w:style w:type="paragraph" w:styleId="778">
    <w:name w:val="Title"/>
    <w:basedOn w:val="746"/>
    <w:next w:val="746"/>
    <w:link w:val="827"/>
    <w:uiPriority w:val="10"/>
    <w:qFormat/>
    <w:pPr>
      <w:contextualSpacing/>
      <w:spacing w:before="300" w:after="200"/>
    </w:pPr>
    <w:rPr>
      <w:sz w:val="48"/>
      <w:szCs w:val="48"/>
    </w:rPr>
  </w:style>
  <w:style w:type="paragraph" w:styleId="779">
    <w:name w:val="annotation subject"/>
    <w:basedOn w:val="760"/>
    <w:next w:val="760"/>
    <w:link w:val="957"/>
    <w:uiPriority w:val="99"/>
    <w:unhideWhenUsed/>
    <w:qFormat/>
    <w:rPr>
      <w:b/>
      <w:bCs/>
    </w:rPr>
  </w:style>
  <w:style w:type="paragraph" w:styleId="780">
    <w:name w:val="Body Text First Indent 2"/>
    <w:basedOn w:val="761"/>
    <w:next w:val="746"/>
    <w:uiPriority w:val="0"/>
    <w:qFormat/>
    <w:pPr>
      <w:ind w:firstLine="420"/>
      <w:spacing w:line="560" w:lineRule="exact"/>
    </w:pPr>
    <w:rPr>
      <w:rFonts w:ascii="仿宋_GB2312" w:hAnsi="宋体"/>
      <w:sz w:val="28"/>
      <w:szCs w:val="20"/>
    </w:r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page number"/>
    <w:uiPriority w:val="0"/>
    <w:qFormat/>
  </w:style>
  <w:style w:type="character" w:styleId="784">
    <w:name w:val="Hyperlink"/>
    <w:uiPriority w:val="99"/>
    <w:unhideWhenUsed/>
    <w:qFormat/>
    <w:rPr>
      <w:color w:val="467886"/>
      <w:u w:val="single"/>
    </w:rPr>
  </w:style>
  <w:style w:type="character" w:styleId="785">
    <w:name w:val="annotation reference"/>
    <w:uiPriority w:val="99"/>
    <w:unhideWhenUsed/>
    <w:qFormat/>
    <w:rPr>
      <w:sz w:val="21"/>
      <w:szCs w:val="21"/>
    </w:rPr>
  </w:style>
  <w:style w:type="character" w:styleId="786">
    <w:name w:val="footnote reference"/>
    <w:uiPriority w:val="99"/>
    <w:unhideWhenUsed/>
    <w:qFormat/>
    <w:rPr>
      <w:vertAlign w:val="superscript"/>
    </w:rPr>
  </w:style>
  <w:style w:type="paragraph" w:styleId="787" w:customStyle="1">
    <w:name w:val="TOAHeading"/>
    <w:basedOn w:val="746"/>
    <w:next w:val="746"/>
    <w:uiPriority w:val="0"/>
    <w:qFormat/>
    <w:pPr>
      <w:spacing w:before="120"/>
    </w:pPr>
    <w:rPr>
      <w:rFonts w:ascii="Arial" w:hAnsi="Arial"/>
      <w:sz w:val="24"/>
      <w:szCs w:val="20"/>
    </w:rPr>
  </w:style>
  <w:style w:type="character" w:styleId="788" w:customStyle="1">
    <w:name w:val="标题 1 字符"/>
    <w:link w:val="747"/>
    <w:uiPriority w:val="9"/>
    <w:qFormat/>
    <w:rPr>
      <w:rFonts w:ascii="楷体_GB2312" w:hAnsi="宋体"/>
      <w:b/>
      <w:sz w:val="44"/>
      <w:szCs w:val="28"/>
    </w:rPr>
  </w:style>
  <w:style w:type="paragraph" w:styleId="789" w:customStyle="1">
    <w:name w:val="首行缩进"/>
    <w:basedOn w:val="746"/>
    <w:next w:val="746"/>
    <w:uiPriority w:val="0"/>
    <w:qFormat/>
    <w:pPr>
      <w:ind w:firstLine="480"/>
      <w:jc w:val="left"/>
      <w:spacing w:line="360" w:lineRule="auto"/>
    </w:pPr>
    <w:rPr>
      <w:rFonts w:ascii="宋体" w:hAnsi="宋体"/>
      <w:sz w:val="24"/>
    </w:rPr>
  </w:style>
  <w:style w:type="character" w:styleId="790" w:customStyle="1">
    <w:name w:val="Title Char"/>
    <w:basedOn w:val="756"/>
    <w:uiPriority w:val="10"/>
    <w:qFormat/>
    <w:rPr>
      <w:sz w:val="48"/>
      <w:szCs w:val="48"/>
    </w:rPr>
  </w:style>
  <w:style w:type="character" w:styleId="791" w:customStyle="1">
    <w:name w:val="Subtitle Char"/>
    <w:basedOn w:val="756"/>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table" w:styleId="794" w:customStyle="1">
    <w:name w:val="无格式表格 11"/>
    <w:basedOn w:val="75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75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75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网格表 21"/>
    <w:basedOn w:val="75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网格表 31"/>
    <w:basedOn w:val="75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basedOn w:val="75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网格表 5 深色1"/>
    <w:basedOn w:val="7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网格表 6 彩色1"/>
    <w:basedOn w:val="75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网格表 7 彩色1"/>
    <w:basedOn w:val="75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清单表 1 浅色1"/>
    <w:basedOn w:val="75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清单表 21"/>
    <w:basedOn w:val="75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清单表 31"/>
    <w:basedOn w:val="75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清单表 41"/>
    <w:basedOn w:val="75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清单表 5 深色1"/>
    <w:basedOn w:val="75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清单表 6 彩色1"/>
    <w:basedOn w:val="75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清单表 7 彩色1"/>
    <w:basedOn w:val="757"/>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
    <w:uiPriority w:val="39"/>
    <w:unhideWhenUsed/>
    <w:qFormat/>
    <w:rPr>
      <w:rFonts w:ascii="Times New Roman" w:hAnsi="Times New Roman" w:eastAsia="宋体" w:cs="Times New Roman"/>
      <w:lang w:val="en-US" w:eastAsia="zh-CN" w:bidi="ar-SA"/>
    </w:rPr>
  </w:style>
  <w:style w:type="character" w:styleId="816" w:customStyle="1">
    <w:name w:val="Heading 1 Char"/>
    <w:uiPriority w:val="9"/>
    <w:qFormat/>
    <w:rPr>
      <w:rFonts w:ascii="Arial" w:hAnsi="Arial" w:eastAsia="Arial" w:cs="Arial"/>
      <w:sz w:val="40"/>
      <w:szCs w:val="40"/>
    </w:rPr>
  </w:style>
  <w:style w:type="character" w:styleId="817" w:customStyle="1">
    <w:name w:val="Heading 2 Char"/>
    <w:uiPriority w:val="9"/>
    <w:qFormat/>
    <w:rPr>
      <w:rFonts w:ascii="Arial" w:hAnsi="Arial" w:eastAsia="Arial" w:cs="Arial"/>
      <w:sz w:val="34"/>
    </w:rPr>
  </w:style>
  <w:style w:type="character" w:styleId="818" w:customStyle="1">
    <w:name w:val="Heading 3 Char"/>
    <w:uiPriority w:val="9"/>
    <w:qFormat/>
    <w:rPr>
      <w:rFonts w:ascii="Arial" w:hAnsi="Arial" w:eastAsia="Arial" w:cs="Arial"/>
      <w:sz w:val="30"/>
      <w:szCs w:val="30"/>
    </w:rPr>
  </w:style>
  <w:style w:type="character" w:styleId="819" w:customStyle="1">
    <w:name w:val="Heading 4 Char"/>
    <w:uiPriority w:val="9"/>
    <w:qFormat/>
    <w:rPr>
      <w:rFonts w:ascii="Arial" w:hAnsi="Arial" w:eastAsia="Arial" w:cs="Arial"/>
      <w:b/>
      <w:bCs/>
      <w:sz w:val="26"/>
      <w:szCs w:val="26"/>
    </w:rPr>
  </w:style>
  <w:style w:type="character" w:styleId="820" w:customStyle="1">
    <w:name w:val="Heading 5 Char"/>
    <w:uiPriority w:val="9"/>
    <w:qFormat/>
    <w:rPr>
      <w:rFonts w:ascii="Arial" w:hAnsi="Arial" w:eastAsia="Arial" w:cs="Arial"/>
      <w:b/>
      <w:bCs/>
      <w:sz w:val="24"/>
      <w:szCs w:val="24"/>
    </w:rPr>
  </w:style>
  <w:style w:type="character" w:styleId="821" w:customStyle="1">
    <w:name w:val="Heading 6 Char"/>
    <w:uiPriority w:val="9"/>
    <w:qFormat/>
    <w:rPr>
      <w:rFonts w:ascii="Arial" w:hAnsi="Arial" w:eastAsia="Arial" w:cs="Arial"/>
      <w:b/>
      <w:bCs/>
      <w:sz w:val="22"/>
      <w:szCs w:val="22"/>
    </w:rPr>
  </w:style>
  <w:style w:type="character" w:styleId="822" w:customStyle="1">
    <w:name w:val="Heading 7 Char"/>
    <w:uiPriority w:val="9"/>
    <w:qFormat/>
    <w:rPr>
      <w:rFonts w:ascii="Arial" w:hAnsi="Arial" w:eastAsia="Arial" w:cs="Arial"/>
      <w:b/>
      <w:bCs/>
      <w:i/>
      <w:iCs/>
      <w:sz w:val="22"/>
      <w:szCs w:val="22"/>
    </w:rPr>
  </w:style>
  <w:style w:type="character" w:styleId="823" w:customStyle="1">
    <w:name w:val="Heading 8 Char"/>
    <w:uiPriority w:val="9"/>
    <w:qFormat/>
    <w:rPr>
      <w:rFonts w:ascii="Arial" w:hAnsi="Arial" w:eastAsia="Arial" w:cs="Arial"/>
      <w:i/>
      <w:iCs/>
      <w:sz w:val="22"/>
      <w:szCs w:val="22"/>
    </w:rPr>
  </w:style>
  <w:style w:type="character" w:styleId="824" w:customStyle="1">
    <w:name w:val="Heading 9 Char"/>
    <w:uiPriority w:val="9"/>
    <w:qFormat/>
    <w:rPr>
      <w:rFonts w:ascii="Arial" w:hAnsi="Arial" w:eastAsia="Arial" w:cs="Arial"/>
      <w:i/>
      <w:iCs/>
      <w:sz w:val="21"/>
      <w:szCs w:val="21"/>
    </w:rPr>
  </w:style>
  <w:style w:type="paragraph" w:styleId="825">
    <w:name w:val="List Paragraph"/>
    <w:basedOn w:val="746"/>
    <w:uiPriority w:val="34"/>
    <w:qFormat/>
    <w:pPr>
      <w:contextualSpacing/>
      <w:ind w:left="720"/>
    </w:pPr>
  </w:style>
  <w:style w:type="paragraph" w:styleId="826">
    <w:name w:val="No Spacing"/>
    <w:uiPriority w:val="1"/>
    <w:qFormat/>
    <w:rPr>
      <w:rFonts w:ascii="Times New Roman" w:hAnsi="Times New Roman" w:eastAsia="宋体" w:cs="Times New Roman"/>
      <w:lang w:val="en-US" w:eastAsia="zh-CN" w:bidi="ar-SA"/>
    </w:rPr>
  </w:style>
  <w:style w:type="character" w:styleId="827" w:customStyle="1">
    <w:name w:val="标题 字符"/>
    <w:link w:val="778"/>
    <w:uiPriority w:val="10"/>
    <w:qFormat/>
    <w:rPr>
      <w:sz w:val="48"/>
      <w:szCs w:val="48"/>
    </w:rPr>
  </w:style>
  <w:style w:type="character" w:styleId="828" w:customStyle="1">
    <w:name w:val="副标题 字符"/>
    <w:link w:val="771"/>
    <w:uiPriority w:val="11"/>
    <w:qFormat/>
    <w:rPr>
      <w:sz w:val="24"/>
      <w:szCs w:val="24"/>
    </w:rPr>
  </w:style>
  <w:style w:type="paragraph" w:styleId="829">
    <w:name w:val="Quote"/>
    <w:basedOn w:val="746"/>
    <w:next w:val="746"/>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46"/>
    <w:next w:val="746"/>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Header Char"/>
    <w:uiPriority w:val="99"/>
    <w:qFormat/>
  </w:style>
  <w:style w:type="character" w:styleId="834" w:customStyle="1">
    <w:name w:val="Footer Char"/>
    <w:uiPriority w:val="99"/>
    <w:qFormat/>
  </w:style>
  <w:style w:type="character" w:styleId="835" w:customStyle="1">
    <w:name w:val="Caption Char"/>
    <w:uiPriority w:val="99"/>
    <w:qFormat/>
  </w:style>
  <w:style w:type="table" w:styleId="83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9" w:customStyle="1">
    <w:name w:val="List Table 1 Light - Accent 1"/>
    <w:uiPriority w:val="99"/>
    <w:qFormat/>
    <w:tblPr>
      <w:tblCellMar>
        <w:left w:w="0" w:type="dxa"/>
        <w:top w:w="0" w:type="dxa"/>
        <w:right w:w="0" w:type="dxa"/>
        <w:bottom w:w="0" w:type="dxa"/>
      </w:tblCellMar>
    </w:tblPr>
  </w:style>
  <w:style w:type="table" w:styleId="880" w:customStyle="1">
    <w:name w:val="List Table 1 Light - Accent 2"/>
    <w:uiPriority w:val="99"/>
    <w:qFormat/>
    <w:tblPr>
      <w:tblCellMar>
        <w:left w:w="0" w:type="dxa"/>
        <w:top w:w="0" w:type="dxa"/>
        <w:right w:w="0" w:type="dxa"/>
        <w:bottom w:w="0" w:type="dxa"/>
      </w:tblCellMar>
    </w:tblPr>
  </w:style>
  <w:style w:type="table" w:styleId="881" w:customStyle="1">
    <w:name w:val="List Table 1 Light - Accent 3"/>
    <w:uiPriority w:val="99"/>
    <w:qFormat/>
    <w:tblPr>
      <w:tblCellMar>
        <w:left w:w="0" w:type="dxa"/>
        <w:top w:w="0" w:type="dxa"/>
        <w:right w:w="0" w:type="dxa"/>
        <w:bottom w:w="0" w:type="dxa"/>
      </w:tblCellMar>
    </w:tblPr>
  </w:style>
  <w:style w:type="table" w:styleId="882" w:customStyle="1">
    <w:name w:val="List Table 1 Light - Accent 4"/>
    <w:uiPriority w:val="99"/>
    <w:qFormat/>
    <w:tblPr>
      <w:tblCellMar>
        <w:left w:w="0" w:type="dxa"/>
        <w:top w:w="0" w:type="dxa"/>
        <w:right w:w="0" w:type="dxa"/>
        <w:bottom w:w="0" w:type="dxa"/>
      </w:tblCellMar>
    </w:tblPr>
  </w:style>
  <w:style w:type="table" w:styleId="883" w:customStyle="1">
    <w:name w:val="List Table 1 Light - Accent 5"/>
    <w:uiPriority w:val="99"/>
    <w:qFormat/>
    <w:tblPr>
      <w:tblCellMar>
        <w:left w:w="0" w:type="dxa"/>
        <w:top w:w="0" w:type="dxa"/>
        <w:right w:w="0" w:type="dxa"/>
        <w:bottom w:w="0" w:type="dxa"/>
      </w:tblCellMar>
    </w:tblPr>
  </w:style>
  <w:style w:type="table" w:styleId="884" w:customStyle="1">
    <w:name w:val="List Table 1 Light - Accent 6"/>
    <w:uiPriority w:val="99"/>
    <w:qFormat/>
    <w:tblPr>
      <w:tblCellMar>
        <w:left w:w="0" w:type="dxa"/>
        <w:top w:w="0" w:type="dxa"/>
        <w:right w:w="0" w:type="dxa"/>
        <w:bottom w:w="0" w:type="dxa"/>
      </w:tblCellMar>
    </w:tblPr>
  </w:style>
  <w:style w:type="table" w:styleId="88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1" w:customStyle="1">
    <w:name w:val="Lined - Accent"/>
    <w:uiPriority w:val="99"/>
    <w:qFormat/>
    <w:rPr>
      <w:color w:val="404040"/>
    </w:rPr>
    <w:tblPr>
      <w:tblCellMar>
        <w:left w:w="0" w:type="dxa"/>
        <w:top w:w="0" w:type="dxa"/>
        <w:right w:w="0" w:type="dxa"/>
        <w:bottom w:w="0" w:type="dxa"/>
      </w:tblCellMar>
    </w:tblPr>
  </w:style>
  <w:style w:type="table" w:styleId="922" w:customStyle="1">
    <w:name w:val="Lined - Accent 1"/>
    <w:uiPriority w:val="99"/>
    <w:qFormat/>
    <w:rPr>
      <w:color w:val="404040"/>
    </w:rPr>
    <w:tblPr>
      <w:tblCellMar>
        <w:left w:w="0" w:type="dxa"/>
        <w:top w:w="0" w:type="dxa"/>
        <w:right w:w="0" w:type="dxa"/>
        <w:bottom w:w="0" w:type="dxa"/>
      </w:tblCellMar>
    </w:tblPr>
  </w:style>
  <w:style w:type="table" w:styleId="923" w:customStyle="1">
    <w:name w:val="Lined - Accent 2"/>
    <w:uiPriority w:val="99"/>
    <w:qFormat/>
    <w:rPr>
      <w:color w:val="404040"/>
    </w:rPr>
    <w:tblPr>
      <w:tblCellMar>
        <w:left w:w="0" w:type="dxa"/>
        <w:top w:w="0" w:type="dxa"/>
        <w:right w:w="0" w:type="dxa"/>
        <w:bottom w:w="0" w:type="dxa"/>
      </w:tblCellMar>
    </w:tblPr>
  </w:style>
  <w:style w:type="table" w:styleId="924" w:customStyle="1">
    <w:name w:val="Lined - Accent 3"/>
    <w:uiPriority w:val="99"/>
    <w:qFormat/>
    <w:rPr>
      <w:color w:val="404040"/>
    </w:rPr>
    <w:tblPr>
      <w:tblCellMar>
        <w:left w:w="0" w:type="dxa"/>
        <w:top w:w="0" w:type="dxa"/>
        <w:right w:w="0" w:type="dxa"/>
        <w:bottom w:w="0" w:type="dxa"/>
      </w:tblCellMar>
    </w:tblPr>
  </w:style>
  <w:style w:type="table" w:styleId="925" w:customStyle="1">
    <w:name w:val="Lined - Accent 4"/>
    <w:uiPriority w:val="99"/>
    <w:qFormat/>
    <w:rPr>
      <w:color w:val="404040"/>
    </w:rPr>
    <w:tblPr>
      <w:tblCellMar>
        <w:left w:w="0" w:type="dxa"/>
        <w:top w:w="0" w:type="dxa"/>
        <w:right w:w="0" w:type="dxa"/>
        <w:bottom w:w="0" w:type="dxa"/>
      </w:tblCellMar>
    </w:tblPr>
  </w:style>
  <w:style w:type="table" w:styleId="926" w:customStyle="1">
    <w:name w:val="Lined - Accent 5"/>
    <w:uiPriority w:val="99"/>
    <w:qFormat/>
    <w:rPr>
      <w:color w:val="404040"/>
    </w:rPr>
    <w:tblPr>
      <w:tblCellMar>
        <w:left w:w="0" w:type="dxa"/>
        <w:top w:w="0" w:type="dxa"/>
        <w:right w:w="0" w:type="dxa"/>
        <w:bottom w:w="0" w:type="dxa"/>
      </w:tblCellMar>
    </w:tblPr>
  </w:style>
  <w:style w:type="table" w:styleId="927" w:customStyle="1">
    <w:name w:val="Lined - Accent 6"/>
    <w:uiPriority w:val="99"/>
    <w:qFormat/>
    <w:rPr>
      <w:color w:val="404040"/>
    </w:rPr>
    <w:tblPr>
      <w:tblCellMar>
        <w:left w:w="0" w:type="dxa"/>
        <w:top w:w="0" w:type="dxa"/>
        <w:right w:w="0" w:type="dxa"/>
        <w:bottom w:w="0" w:type="dxa"/>
      </w:tblCellMar>
    </w:tblPr>
  </w:style>
  <w:style w:type="table" w:styleId="92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2" w:customStyle="1">
    <w:name w:val="脚注文本 字符"/>
    <w:link w:val="772"/>
    <w:uiPriority w:val="99"/>
    <w:qFormat/>
    <w:rPr>
      <w:sz w:val="18"/>
    </w:rPr>
  </w:style>
  <w:style w:type="character" w:styleId="943" w:customStyle="1">
    <w:name w:val="尾注文本 字符"/>
    <w:link w:val="765"/>
    <w:uiPriority w:val="99"/>
    <w:qFormat/>
    <w:rPr>
      <w:sz w:val="20"/>
    </w:rPr>
  </w:style>
  <w:style w:type="paragraph" w:styleId="944" w:customStyle="1">
    <w:name w:val="TOC 标题11"/>
    <w:uiPriority w:val="39"/>
    <w:unhideWhenUsed/>
    <w:qFormat/>
    <w:rPr>
      <w:rFonts w:ascii="Times New Roman" w:hAnsi="Times New Roman" w:eastAsia="宋体" w:cs="Times New Roman"/>
      <w:lang w:val="en-US" w:eastAsia="zh-CN" w:bidi="ar-SA"/>
    </w:rPr>
  </w:style>
  <w:style w:type="character" w:styleId="945" w:customStyle="1">
    <w:name w:val="标题 2 字符"/>
    <w:link w:val="748"/>
    <w:uiPriority w:val="0"/>
    <w:qFormat/>
    <w:rPr>
      <w:rFonts w:ascii="Arial" w:hAnsi="Arial"/>
      <w:b/>
      <w:bCs/>
      <w:sz w:val="28"/>
      <w:szCs w:val="44"/>
    </w:rPr>
  </w:style>
  <w:style w:type="character" w:styleId="946" w:customStyle="1">
    <w:name w:val="标题 3 字符"/>
    <w:link w:val="749"/>
    <w:uiPriority w:val="9"/>
    <w:qFormat/>
    <w:rPr>
      <w:b/>
      <w:bCs/>
      <w:sz w:val="32"/>
      <w:szCs w:val="32"/>
    </w:rPr>
  </w:style>
  <w:style w:type="character" w:styleId="947" w:customStyle="1">
    <w:name w:val="标题 4 字符"/>
    <w:link w:val="750"/>
    <w:uiPriority w:val="9"/>
    <w:qFormat/>
    <w:rPr>
      <w:rFonts w:ascii="Arial" w:hAnsi="Arial" w:eastAsia="黑体" w:cs="Arial"/>
      <w:b/>
      <w:bCs/>
      <w:sz w:val="28"/>
      <w:szCs w:val="28"/>
    </w:rPr>
  </w:style>
  <w:style w:type="character" w:styleId="948" w:customStyle="1">
    <w:name w:val="标题 5 字符"/>
    <w:link w:val="751"/>
    <w:uiPriority w:val="0"/>
    <w:qFormat/>
    <w:rPr>
      <w:rFonts w:ascii="宋体" w:hAnsi="宋体" w:cs="宋体"/>
      <w:color w:val="000000"/>
      <w:sz w:val="28"/>
      <w:szCs w:val="28"/>
    </w:rPr>
  </w:style>
  <w:style w:type="character" w:styleId="949" w:customStyle="1">
    <w:name w:val="标题 6 字符"/>
    <w:link w:val="752"/>
    <w:uiPriority w:val="0"/>
    <w:qFormat/>
    <w:rPr>
      <w:rFonts w:ascii="Arial" w:hAnsi="Arial" w:eastAsia="黑体"/>
      <w:b/>
      <w:bCs/>
      <w:sz w:val="24"/>
      <w:szCs w:val="24"/>
    </w:rPr>
  </w:style>
  <w:style w:type="character" w:styleId="950" w:customStyle="1">
    <w:name w:val="标题 7 字符"/>
    <w:link w:val="753"/>
    <w:uiPriority w:val="0"/>
    <w:qFormat/>
    <w:rPr>
      <w:b/>
      <w:bCs/>
      <w:sz w:val="24"/>
      <w:szCs w:val="24"/>
    </w:rPr>
  </w:style>
  <w:style w:type="character" w:styleId="951" w:customStyle="1">
    <w:name w:val="标题 8 字符"/>
    <w:link w:val="754"/>
    <w:uiPriority w:val="0"/>
    <w:qFormat/>
    <w:rPr>
      <w:rFonts w:ascii="Arial" w:hAnsi="Arial" w:eastAsia="黑体"/>
      <w:sz w:val="24"/>
      <w:szCs w:val="24"/>
    </w:rPr>
  </w:style>
  <w:style w:type="character" w:styleId="952" w:customStyle="1">
    <w:name w:val="标题 9 字符"/>
    <w:link w:val="755"/>
    <w:uiPriority w:val="0"/>
    <w:qFormat/>
    <w:rPr>
      <w:rFonts w:ascii="Arial" w:hAnsi="Arial" w:eastAsia="黑体"/>
      <w:sz w:val="21"/>
      <w:szCs w:val="21"/>
    </w:rPr>
  </w:style>
  <w:style w:type="character" w:styleId="953" w:customStyle="1">
    <w:name w:val="批注文字 字符"/>
    <w:link w:val="760"/>
    <w:uiPriority w:val="99"/>
    <w:qFormat/>
    <w:rPr>
      <w:rFonts w:ascii="Calibri" w:hAnsi="Calibri"/>
      <w:sz w:val="21"/>
      <w:szCs w:val="22"/>
    </w:rPr>
  </w:style>
  <w:style w:type="character" w:styleId="954" w:customStyle="1">
    <w:name w:val="批注框文本 字符"/>
    <w:link w:val="766"/>
    <w:uiPriority w:val="99"/>
    <w:semiHidden/>
    <w:qFormat/>
    <w:rPr>
      <w:rFonts w:ascii="Calibri" w:hAnsi="Calibri"/>
      <w:sz w:val="18"/>
      <w:szCs w:val="18"/>
    </w:rPr>
  </w:style>
  <w:style w:type="character" w:styleId="955" w:customStyle="1">
    <w:name w:val="页脚 字符"/>
    <w:link w:val="767"/>
    <w:uiPriority w:val="99"/>
    <w:qFormat/>
    <w:rPr>
      <w:rFonts w:ascii="Calibri" w:hAnsi="Calibri"/>
      <w:sz w:val="18"/>
      <w:szCs w:val="18"/>
    </w:rPr>
  </w:style>
  <w:style w:type="character" w:styleId="956" w:customStyle="1">
    <w:name w:val="页眉 字符"/>
    <w:link w:val="768"/>
    <w:uiPriority w:val="99"/>
    <w:qFormat/>
    <w:rPr>
      <w:rFonts w:ascii="Calibri" w:hAnsi="Calibri"/>
      <w:sz w:val="18"/>
      <w:szCs w:val="18"/>
    </w:rPr>
  </w:style>
  <w:style w:type="character" w:styleId="957" w:customStyle="1">
    <w:name w:val="批注主题 字符"/>
    <w:link w:val="779"/>
    <w:uiPriority w:val="99"/>
    <w:semiHidden/>
    <w:qFormat/>
    <w:rPr>
      <w:rFonts w:ascii="Calibri" w:hAnsi="Calibri"/>
      <w:b/>
      <w:bCs/>
      <w:sz w:val="21"/>
      <w:szCs w:val="22"/>
    </w:rPr>
  </w:style>
  <w:style w:type="paragraph" w:styleId="958" w:customStyle="1">
    <w:name w:val="Normal_3"/>
    <w:uiPriority w:val="0"/>
    <w:qFormat/>
    <w:rPr>
      <w:rFonts w:ascii="Times New Roman" w:hAnsi="Times New Roman" w:eastAsia="Times New Roman" w:cs="Times New Roman"/>
      <w:sz w:val="24"/>
      <w:szCs w:val="24"/>
      <w:lang w:val="en-US" w:eastAsia="zh-CN" w:bidi="ar-SA"/>
    </w:rPr>
  </w:style>
  <w:style w:type="paragraph" w:styleId="959" w:customStyle="1">
    <w:name w:val="Normal_2"/>
    <w:next w:val="960"/>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960" w:customStyle="1">
    <w:name w:val="首行缩进_0"/>
    <w:basedOn w:val="959"/>
    <w:uiPriority w:val="0"/>
    <w:qFormat/>
    <w:pPr>
      <w:ind w:firstLine="480"/>
      <w:jc w:val="left"/>
      <w:spacing w:line="360" w:lineRule="auto"/>
    </w:pPr>
    <w:rPr>
      <w:rFonts w:ascii="宋体" w:hAnsi="宋体"/>
      <w:sz w:val="24"/>
    </w:rPr>
  </w:style>
  <w:style w:type="paragraph" w:styleId="961" w:customStyle="1">
    <w:name w:val="Normal_1"/>
    <w:basedOn w:val="959"/>
    <w:next w:val="959"/>
    <w:uiPriority w:val="0"/>
    <w:qFormat/>
    <w:rPr>
      <w:szCs w:val="21"/>
    </w:rPr>
  </w:style>
  <w:style w:type="paragraph" w:styleId="962" w:customStyle="1">
    <w:name w:val="Normal_0_3"/>
    <w:uiPriority w:val="0"/>
    <w:qFormat/>
    <w:rPr>
      <w:rFonts w:ascii="Times New Roman" w:hAnsi="Times New Roman" w:eastAsia="Times New Roman" w:cs="Times New Roman"/>
      <w:sz w:val="24"/>
      <w:szCs w:val="24"/>
      <w:lang w:val="en-US" w:eastAsia="zh-CN" w:bidi="ar-SA"/>
    </w:rPr>
  </w:style>
  <w:style w:type="paragraph" w:styleId="963" w:customStyle="1">
    <w:name w:val="Normal_11"/>
    <w:uiPriority w:val="0"/>
    <w:qFormat/>
    <w:rPr>
      <w:rFonts w:ascii="Times New Roman" w:hAnsi="Times New Roman" w:eastAsia="Times New Roman" w:cs="Times New Roman"/>
      <w:sz w:val="24"/>
      <w:szCs w:val="24"/>
      <w:lang w:val="en-US" w:eastAsia="zh-CN" w:bidi="ar-SA"/>
    </w:rPr>
  </w:style>
  <w:style w:type="paragraph" w:styleId="964" w:customStyle="1">
    <w:name w:val="Normal_14"/>
    <w:uiPriority w:val="0"/>
    <w:qFormat/>
    <w:rPr>
      <w:rFonts w:ascii="Times New Roman" w:hAnsi="Times New Roman" w:eastAsia="Times New Roman" w:cs="Times New Roman"/>
      <w:sz w:val="24"/>
      <w:szCs w:val="24"/>
      <w:lang w:val="en-US" w:eastAsia="zh-CN" w:bidi="ar-SA"/>
    </w:rPr>
  </w:style>
  <w:style w:type="character" w:styleId="965" w:customStyle="1">
    <w:name w:val="10"/>
    <w:uiPriority w:val="0"/>
    <w:qFormat/>
    <w:rPr>
      <w:rFonts w:ascii="Times New Roman" w:hAnsi="Times New Roman" w:cs="Times New Roman"/>
    </w:rPr>
  </w:style>
  <w:style w:type="paragraph" w:styleId="966" w:customStyle="1">
    <w:name w:val="Normal_20"/>
    <w:uiPriority w:val="0"/>
    <w:qFormat/>
    <w:rPr>
      <w:rFonts w:ascii="Times New Roman" w:hAnsi="Times New Roman" w:eastAsia="Times New Roman" w:cs="Times New Roman"/>
      <w:sz w:val="24"/>
      <w:szCs w:val="24"/>
      <w:lang w:val="en-US" w:eastAsia="zh-CN" w:bidi="ar-SA"/>
    </w:rPr>
  </w:style>
  <w:style w:type="paragraph" w:styleId="967" w:customStyle="1">
    <w:name w:val="Normal_0_4"/>
    <w:uiPriority w:val="0"/>
    <w:qFormat/>
    <w:rPr>
      <w:rFonts w:ascii="Times New Roman" w:hAnsi="Times New Roman" w:eastAsia="Times New Roman" w:cs="Times New Roman"/>
      <w:sz w:val="24"/>
      <w:szCs w:val="24"/>
      <w:lang w:val="en-US" w:eastAsia="zh-CN" w:bidi="ar-SA"/>
    </w:rPr>
  </w:style>
  <w:style w:type="character" w:styleId="968" w:customStyle="1">
    <w:name w:val="页脚 Char"/>
    <w:uiPriority w:val="99"/>
    <w:semiHidden/>
    <w:qFormat/>
    <w:rPr>
      <w:rFonts w:ascii="Calibri" w:hAnsi="Calibri"/>
      <w:sz w:val="18"/>
      <w:szCs w:val="18"/>
    </w:rPr>
  </w:style>
  <w:style w:type="paragraph" w:styleId="969" w:customStyle="1">
    <w:name w:val="Normal_3_0"/>
    <w:uiPriority w:val="0"/>
    <w:qFormat/>
    <w:rPr>
      <w:rFonts w:ascii="Times New Roman" w:hAnsi="Times New Roman" w:eastAsia="Times New Roman" w:cs="Times New Roman"/>
      <w:sz w:val="24"/>
      <w:szCs w:val="24"/>
      <w:lang w:val="en-US" w:eastAsia="zh-CN" w:bidi="ar-SA"/>
    </w:rPr>
  </w:style>
  <w:style w:type="paragraph" w:styleId="970" w:customStyle="1">
    <w:name w:val="Normal_4_1"/>
    <w:uiPriority w:val="0"/>
    <w:qFormat/>
    <w:rPr>
      <w:rFonts w:ascii="Times New Roman" w:hAnsi="Times New Roman" w:eastAsia="Times New Roman" w:cs="Times New Roman"/>
      <w:sz w:val="24"/>
      <w:szCs w:val="24"/>
      <w:lang w:val="en-US" w:eastAsia="zh-CN" w:bidi="ar-SA"/>
    </w:rPr>
  </w:style>
  <w:style w:type="paragraph" w:styleId="971" w:customStyle="1">
    <w:name w:val="Normal_5_1"/>
    <w:uiPriority w:val="0"/>
    <w:qFormat/>
    <w:rPr>
      <w:rFonts w:ascii="Times New Roman" w:hAnsi="Times New Roman" w:eastAsia="Times New Roman" w:cs="Times New Roman"/>
      <w:sz w:val="24"/>
      <w:szCs w:val="24"/>
      <w:lang w:val="en-US" w:eastAsia="zh-CN" w:bidi="ar-SA"/>
    </w:rPr>
  </w:style>
  <w:style w:type="paragraph" w:styleId="972" w:customStyle="1">
    <w:name w:val="Normal_6_0"/>
    <w:uiPriority w:val="0"/>
    <w:qFormat/>
    <w:rPr>
      <w:rFonts w:ascii="Times New Roman" w:hAnsi="Times New Roman" w:eastAsia="Times New Roman" w:cs="Times New Roman"/>
      <w:sz w:val="24"/>
      <w:szCs w:val="24"/>
      <w:lang w:val="en-US" w:eastAsia="zh-CN" w:bidi="ar-SA"/>
    </w:rPr>
  </w:style>
  <w:style w:type="paragraph" w:styleId="973" w:customStyle="1">
    <w:name w:val="Normal_7_0"/>
    <w:uiPriority w:val="0"/>
    <w:qFormat/>
    <w:rPr>
      <w:rFonts w:ascii="Times New Roman" w:hAnsi="Times New Roman" w:eastAsia="Times New Roman" w:cs="Times New Roman"/>
      <w:sz w:val="24"/>
      <w:szCs w:val="24"/>
      <w:lang w:val="en-US" w:eastAsia="zh-CN" w:bidi="ar-SA"/>
    </w:rPr>
  </w:style>
  <w:style w:type="paragraph" w:styleId="974" w:customStyle="1">
    <w:name w:val="Normal_8_0"/>
    <w:uiPriority w:val="0"/>
    <w:qFormat/>
    <w:rPr>
      <w:rFonts w:ascii="Times New Roman" w:hAnsi="Times New Roman" w:eastAsia="Times New Roman" w:cs="Times New Roman"/>
      <w:sz w:val="24"/>
      <w:szCs w:val="24"/>
      <w:lang w:val="en-US" w:eastAsia="zh-CN" w:bidi="ar-SA"/>
    </w:rPr>
  </w:style>
  <w:style w:type="paragraph" w:styleId="975" w:customStyle="1">
    <w:name w:val="Normal_9_0"/>
    <w:uiPriority w:val="0"/>
    <w:qFormat/>
    <w:rPr>
      <w:rFonts w:ascii="Times New Roman" w:hAnsi="Times New Roman" w:eastAsia="Times New Roman" w:cs="Times New Roman"/>
      <w:sz w:val="24"/>
      <w:szCs w:val="24"/>
      <w:lang w:val="en-US" w:eastAsia="zh-CN" w:bidi="ar-SA"/>
    </w:rPr>
  </w:style>
  <w:style w:type="paragraph" w:styleId="976" w:customStyle="1">
    <w:name w:val="Normal_10_0"/>
    <w:uiPriority w:val="0"/>
    <w:qFormat/>
    <w:rPr>
      <w:rFonts w:ascii="Times New Roman" w:hAnsi="Times New Roman" w:eastAsia="Times New Roman" w:cs="Times New Roman"/>
      <w:sz w:val="24"/>
      <w:szCs w:val="24"/>
      <w:lang w:val="en-US" w:eastAsia="zh-CN" w:bidi="ar-SA"/>
    </w:rPr>
  </w:style>
  <w:style w:type="paragraph" w:styleId="977" w:customStyle="1">
    <w:name w:val="Normal_11_0"/>
    <w:uiPriority w:val="0"/>
    <w:qFormat/>
    <w:rPr>
      <w:rFonts w:ascii="Times New Roman" w:hAnsi="Times New Roman" w:eastAsia="Times New Roman" w:cs="Times New Roman"/>
      <w:sz w:val="24"/>
      <w:szCs w:val="24"/>
      <w:lang w:val="en-US" w:eastAsia="zh-CN" w:bidi="ar-SA"/>
    </w:rPr>
  </w:style>
  <w:style w:type="paragraph" w:styleId="978" w:customStyle="1">
    <w:name w:val="Normal_12_0"/>
    <w:uiPriority w:val="0"/>
    <w:qFormat/>
    <w:rPr>
      <w:rFonts w:ascii="Times New Roman" w:hAnsi="Times New Roman" w:eastAsia="Times New Roman" w:cs="Times New Roman"/>
      <w:sz w:val="24"/>
      <w:szCs w:val="24"/>
      <w:lang w:val="en-US" w:eastAsia="zh-CN" w:bidi="ar-SA"/>
    </w:rPr>
  </w:style>
  <w:style w:type="paragraph" w:styleId="97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80" w:customStyle="1">
    <w:name w:val="Normal_13_0"/>
    <w:uiPriority w:val="0"/>
    <w:qFormat/>
    <w:rPr>
      <w:rFonts w:ascii="Times New Roman" w:hAnsi="Times New Roman" w:eastAsia="Times New Roman" w:cs="Times New Roman"/>
      <w:sz w:val="24"/>
      <w:szCs w:val="24"/>
      <w:lang w:val="en-US" w:eastAsia="zh-CN" w:bidi="ar-SA"/>
    </w:rPr>
  </w:style>
  <w:style w:type="paragraph" w:styleId="981" w:customStyle="1">
    <w:name w:val="Normal_14_0"/>
    <w:uiPriority w:val="0"/>
    <w:qFormat/>
    <w:rPr>
      <w:rFonts w:ascii="Times New Roman" w:hAnsi="Times New Roman" w:eastAsia="Times New Roman" w:cs="Times New Roman"/>
      <w:sz w:val="24"/>
      <w:szCs w:val="24"/>
      <w:lang w:val="en-US" w:eastAsia="zh-CN" w:bidi="ar-SA"/>
    </w:rPr>
  </w:style>
  <w:style w:type="paragraph" w:styleId="982" w:customStyle="1">
    <w:name w:val="Normal_15_0"/>
    <w:uiPriority w:val="0"/>
    <w:qFormat/>
    <w:rPr>
      <w:rFonts w:ascii="Times New Roman" w:hAnsi="Times New Roman" w:eastAsia="Times New Roman" w:cs="Times New Roman"/>
      <w:sz w:val="24"/>
      <w:szCs w:val="24"/>
      <w:lang w:val="en-US" w:eastAsia="zh-CN" w:bidi="ar-SA"/>
    </w:rPr>
  </w:style>
  <w:style w:type="paragraph" w:styleId="983" w:customStyle="1">
    <w:name w:val="Normal_16_0"/>
    <w:uiPriority w:val="0"/>
    <w:qFormat/>
    <w:rPr>
      <w:rFonts w:ascii="Times New Roman" w:hAnsi="Times New Roman" w:eastAsia="Times New Roman" w:cs="Times New Roman"/>
      <w:sz w:val="24"/>
      <w:szCs w:val="24"/>
      <w:lang w:val="en-US" w:eastAsia="zh-CN" w:bidi="ar-SA"/>
    </w:rPr>
  </w:style>
  <w:style w:type="paragraph" w:styleId="984" w:customStyle="1">
    <w:name w:val="Normal_17_0"/>
    <w:uiPriority w:val="0"/>
    <w:qFormat/>
    <w:rPr>
      <w:rFonts w:ascii="Times New Roman" w:hAnsi="Times New Roman" w:eastAsia="Times New Roman" w:cs="Times New Roman"/>
      <w:sz w:val="24"/>
      <w:szCs w:val="24"/>
      <w:lang w:val="en-US" w:eastAsia="zh-CN" w:bidi="ar-SA"/>
    </w:rPr>
  </w:style>
  <w:style w:type="paragraph" w:styleId="985" w:customStyle="1">
    <w:name w:val="Normal_18_0"/>
    <w:uiPriority w:val="0"/>
    <w:qFormat/>
    <w:rPr>
      <w:rFonts w:ascii="Times New Roman" w:hAnsi="Times New Roman" w:eastAsia="Times New Roman" w:cs="Times New Roman"/>
      <w:sz w:val="24"/>
      <w:szCs w:val="24"/>
      <w:lang w:val="en-US" w:eastAsia="zh-CN" w:bidi="ar-SA"/>
    </w:rPr>
  </w:style>
  <w:style w:type="paragraph" w:styleId="986" w:customStyle="1">
    <w:name w:val="Normal_19_0"/>
    <w:uiPriority w:val="0"/>
    <w:qFormat/>
    <w:rPr>
      <w:rFonts w:ascii="Times New Roman" w:hAnsi="Times New Roman" w:eastAsia="Times New Roman" w:cs="Times New Roman"/>
      <w:sz w:val="24"/>
      <w:szCs w:val="24"/>
      <w:lang w:val="en-US" w:eastAsia="zh-CN" w:bidi="ar-SA"/>
    </w:rPr>
  </w:style>
  <w:style w:type="paragraph" w:styleId="987" w:customStyle="1">
    <w:name w:val="Normal_20_0"/>
    <w:uiPriority w:val="0"/>
    <w:qFormat/>
    <w:rPr>
      <w:rFonts w:ascii="Times New Roman" w:hAnsi="Times New Roman" w:eastAsia="Times New Roman" w:cs="Times New Roman"/>
      <w:sz w:val="24"/>
      <w:szCs w:val="24"/>
      <w:lang w:val="en-US" w:eastAsia="zh-CN" w:bidi="ar-SA"/>
    </w:rPr>
  </w:style>
  <w:style w:type="paragraph" w:styleId="988" w:customStyle="1">
    <w:name w:val="Normal_22"/>
    <w:uiPriority w:val="0"/>
    <w:qFormat/>
    <w:rPr>
      <w:rFonts w:ascii="Times New Roman" w:hAnsi="Times New Roman" w:eastAsia="Times New Roman" w:cs="Times New Roman"/>
      <w:sz w:val="24"/>
      <w:szCs w:val="24"/>
      <w:lang w:val="en-US" w:eastAsia="zh-CN" w:bidi="ar-SA"/>
    </w:rPr>
  </w:style>
  <w:style w:type="paragraph" w:styleId="989" w:customStyle="1">
    <w:name w:val="Normal_23"/>
    <w:uiPriority w:val="0"/>
    <w:qFormat/>
    <w:rPr>
      <w:rFonts w:ascii="Times New Roman" w:hAnsi="Times New Roman" w:eastAsia="Times New Roman" w:cs="Times New Roman"/>
      <w:sz w:val="24"/>
      <w:szCs w:val="24"/>
      <w:lang w:val="en-US" w:eastAsia="zh-CN" w:bidi="ar-SA"/>
    </w:rPr>
  </w:style>
  <w:style w:type="paragraph" w:styleId="990" w:customStyle="1">
    <w:name w:val="Normal_24"/>
    <w:uiPriority w:val="0"/>
    <w:qFormat/>
    <w:rPr>
      <w:rFonts w:ascii="Times New Roman" w:hAnsi="Times New Roman" w:eastAsia="Times New Roman" w:cs="Times New Roman"/>
      <w:sz w:val="24"/>
      <w:szCs w:val="24"/>
      <w:lang w:val="en-US" w:eastAsia="zh-CN" w:bidi="ar-SA"/>
    </w:rPr>
  </w:style>
  <w:style w:type="paragraph" w:styleId="991" w:customStyle="1">
    <w:name w:val="Normal_25"/>
    <w:uiPriority w:val="0"/>
    <w:qFormat/>
    <w:rPr>
      <w:rFonts w:ascii="Times New Roman" w:hAnsi="Times New Roman" w:eastAsia="Times New Roman" w:cs="Times New Roman"/>
      <w:sz w:val="24"/>
      <w:szCs w:val="24"/>
      <w:lang w:val="en-US" w:eastAsia="zh-CN" w:bidi="ar-SA"/>
    </w:rPr>
  </w:style>
  <w:style w:type="paragraph" w:styleId="992" w:customStyle="1">
    <w:name w:val="Normal_26"/>
    <w:uiPriority w:val="0"/>
    <w:qFormat/>
    <w:rPr>
      <w:rFonts w:ascii="Times New Roman" w:hAnsi="Times New Roman" w:eastAsia="Times New Roman" w:cs="Times New Roman"/>
      <w:sz w:val="24"/>
      <w:szCs w:val="24"/>
      <w:lang w:val="en-US" w:eastAsia="zh-CN" w:bidi="ar-SA"/>
    </w:rPr>
  </w:style>
  <w:style w:type="paragraph" w:styleId="993"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94" w:customStyle="1">
    <w:name w:val="Normal_27"/>
    <w:uiPriority w:val="0"/>
    <w:qFormat/>
    <w:rPr>
      <w:rFonts w:ascii="Times New Roman" w:hAnsi="Times New Roman" w:eastAsia="Times New Roman" w:cs="Times New Roman"/>
      <w:sz w:val="24"/>
      <w:szCs w:val="24"/>
      <w:lang w:val="en-US" w:eastAsia="zh-CN" w:bidi="ar-SA"/>
    </w:rPr>
  </w:style>
  <w:style w:type="paragraph" w:styleId="995" w:customStyle="1">
    <w:name w:val="Normal_28"/>
    <w:uiPriority w:val="0"/>
    <w:qFormat/>
    <w:rPr>
      <w:rFonts w:ascii="Times New Roman" w:hAnsi="Times New Roman" w:eastAsia="Times New Roman" w:cs="Times New Roman"/>
      <w:sz w:val="24"/>
      <w:szCs w:val="24"/>
      <w:lang w:val="en-US" w:eastAsia="zh-CN" w:bidi="ar-SA"/>
    </w:rPr>
  </w:style>
  <w:style w:type="paragraph" w:styleId="996" w:customStyle="1">
    <w:name w:val="Normal_29"/>
    <w:uiPriority w:val="0"/>
    <w:qFormat/>
    <w:rPr>
      <w:rFonts w:ascii="Times New Roman" w:hAnsi="Times New Roman" w:eastAsia="Times New Roman" w:cs="Times New Roman"/>
      <w:sz w:val="24"/>
      <w:szCs w:val="24"/>
      <w:lang w:val="en-US" w:eastAsia="zh-CN" w:bidi="ar-SA"/>
    </w:rPr>
  </w:style>
  <w:style w:type="paragraph" w:styleId="997" w:customStyle="1">
    <w:name w:val="正文_1"/>
    <w:next w:val="746"/>
    <w:uiPriority w:val="0"/>
    <w:qFormat/>
    <w:pPr>
      <w:jc w:val="both"/>
      <w:widowControl w:val="off"/>
    </w:pPr>
    <w:rPr>
      <w:rFonts w:ascii="Times New Roman" w:hAnsi="Times New Roman" w:eastAsia="宋体" w:cs="Times New Roman"/>
      <w:sz w:val="21"/>
      <w:lang w:val="en-US" w:eastAsia="zh-CN" w:bidi="ar-SA"/>
    </w:rPr>
  </w:style>
  <w:style w:type="paragraph" w:styleId="998" w:customStyle="1">
    <w:name w:val="Normal_30"/>
    <w:uiPriority w:val="0"/>
    <w:qFormat/>
    <w:rPr>
      <w:rFonts w:ascii="Times New Roman" w:hAnsi="Times New Roman" w:eastAsia="Times New Roman" w:cs="Times New Roman"/>
      <w:sz w:val="24"/>
      <w:szCs w:val="24"/>
      <w:lang w:val="en-US" w:eastAsia="zh-CN" w:bidi="ar-SA"/>
    </w:rPr>
  </w:style>
  <w:style w:type="paragraph" w:styleId="999" w:customStyle="1">
    <w:name w:val="Normal_31"/>
    <w:uiPriority w:val="0"/>
    <w:qFormat/>
    <w:rPr>
      <w:rFonts w:ascii="Times New Roman" w:hAnsi="Times New Roman" w:eastAsia="Times New Roman" w:cs="Times New Roman"/>
      <w:sz w:val="24"/>
      <w:szCs w:val="24"/>
      <w:lang w:val="en-US" w:eastAsia="zh-CN" w:bidi="ar-SA"/>
    </w:rPr>
  </w:style>
  <w:style w:type="paragraph" w:styleId="1000" w:customStyle="1">
    <w:name w:val="正文_2"/>
    <w:next w:val="746"/>
    <w:uiPriority w:val="0"/>
    <w:qFormat/>
    <w:pPr>
      <w:jc w:val="both"/>
      <w:widowControl w:val="off"/>
    </w:pPr>
    <w:rPr>
      <w:rFonts w:ascii="Times New Roman" w:hAnsi="Times New Roman" w:eastAsia="宋体" w:cs="Times New Roman"/>
      <w:sz w:val="21"/>
      <w:lang w:val="en-US" w:eastAsia="zh-CN" w:bidi="ar-SA"/>
    </w:rPr>
  </w:style>
  <w:style w:type="paragraph" w:styleId="1001" w:customStyle="1">
    <w:name w:val="Normal_32"/>
    <w:uiPriority w:val="0"/>
    <w:qFormat/>
    <w:rPr>
      <w:rFonts w:ascii="Times New Roman" w:hAnsi="Times New Roman" w:eastAsia="Times New Roman" w:cs="Times New Roman"/>
      <w:sz w:val="24"/>
      <w:szCs w:val="24"/>
      <w:lang w:val="en-US" w:eastAsia="zh-CN" w:bidi="ar-SA"/>
    </w:rPr>
  </w:style>
  <w:style w:type="paragraph" w:styleId="1002" w:customStyle="1">
    <w:name w:val="Normal_33"/>
    <w:uiPriority w:val="0"/>
    <w:qFormat/>
    <w:rPr>
      <w:rFonts w:ascii="Times New Roman" w:hAnsi="Times New Roman" w:eastAsia="Times New Roman" w:cs="Times New Roman"/>
      <w:sz w:val="24"/>
      <w:szCs w:val="24"/>
      <w:lang w:val="en-US" w:eastAsia="zh-CN" w:bidi="ar-SA"/>
    </w:rPr>
  </w:style>
  <w:style w:type="paragraph" w:styleId="1003" w:customStyle="1">
    <w:name w:val="Normal_34"/>
    <w:uiPriority w:val="0"/>
    <w:qFormat/>
    <w:rPr>
      <w:rFonts w:ascii="Times New Roman" w:hAnsi="Times New Roman" w:eastAsia="Times New Roman" w:cs="Times New Roman"/>
      <w:sz w:val="24"/>
      <w:szCs w:val="24"/>
      <w:lang w:val="en-US" w:eastAsia="zh-CN" w:bidi="ar-SA"/>
    </w:rPr>
  </w:style>
  <w:style w:type="paragraph" w:styleId="1004" w:customStyle="1">
    <w:name w:val="Normal_35"/>
    <w:uiPriority w:val="0"/>
    <w:qFormat/>
    <w:rPr>
      <w:rFonts w:ascii="Times New Roman" w:hAnsi="Times New Roman" w:eastAsia="Times New Roman" w:cs="Times New Roman"/>
      <w:sz w:val="24"/>
      <w:szCs w:val="24"/>
      <w:lang w:val="en-US" w:eastAsia="zh-CN" w:bidi="ar-SA"/>
    </w:rPr>
  </w:style>
  <w:style w:type="paragraph" w:styleId="1005" w:customStyle="1">
    <w:name w:val="Normal_36"/>
    <w:uiPriority w:val="0"/>
    <w:qFormat/>
    <w:rPr>
      <w:rFonts w:ascii="Times New Roman" w:hAnsi="Times New Roman" w:eastAsia="Times New Roman" w:cs="Times New Roman"/>
      <w:sz w:val="24"/>
      <w:szCs w:val="24"/>
      <w:lang w:val="en-US" w:eastAsia="zh-CN" w:bidi="ar-SA"/>
    </w:rPr>
  </w:style>
  <w:style w:type="paragraph" w:styleId="1006" w:customStyle="1">
    <w:name w:val="Normal_37"/>
    <w:uiPriority w:val="0"/>
    <w:qFormat/>
    <w:rPr>
      <w:rFonts w:ascii="Times New Roman" w:hAnsi="Times New Roman" w:eastAsia="Times New Roman" w:cs="Times New Roman"/>
      <w:sz w:val="24"/>
      <w:szCs w:val="24"/>
      <w:lang w:val="en-US" w:eastAsia="zh-CN" w:bidi="ar-SA"/>
    </w:rPr>
  </w:style>
  <w:style w:type="paragraph" w:styleId="1007" w:customStyle="1">
    <w:name w:val="Normal_38"/>
    <w:uiPriority w:val="0"/>
    <w:qFormat/>
    <w:rPr>
      <w:rFonts w:ascii="Times New Roman" w:hAnsi="Times New Roman" w:eastAsia="Times New Roman" w:cs="Times New Roman"/>
      <w:sz w:val="24"/>
      <w:szCs w:val="24"/>
      <w:lang w:val="en-US" w:eastAsia="zh-CN" w:bidi="ar-SA"/>
    </w:rPr>
  </w:style>
  <w:style w:type="paragraph" w:styleId="1008" w:customStyle="1">
    <w:name w:val="Normal_39"/>
    <w:uiPriority w:val="0"/>
    <w:qFormat/>
    <w:rPr>
      <w:rFonts w:ascii="Times New Roman" w:hAnsi="Times New Roman" w:eastAsia="Times New Roman" w:cs="Times New Roman"/>
      <w:sz w:val="24"/>
      <w:szCs w:val="24"/>
      <w:lang w:val="en-US" w:eastAsia="zh-CN" w:bidi="ar-SA"/>
    </w:rPr>
  </w:style>
  <w:style w:type="paragraph" w:styleId="1009" w:customStyle="1">
    <w:name w:val="Normal_40"/>
    <w:uiPriority w:val="0"/>
    <w:qFormat/>
    <w:rPr>
      <w:rFonts w:ascii="Times New Roman" w:hAnsi="Times New Roman" w:eastAsia="Times New Roman" w:cs="Times New Roman"/>
      <w:sz w:val="24"/>
      <w:szCs w:val="24"/>
      <w:lang w:val="en-US" w:eastAsia="zh-CN" w:bidi="ar-SA"/>
    </w:rPr>
  </w:style>
  <w:style w:type="paragraph" w:styleId="1010" w:customStyle="1">
    <w:name w:val="Normal_41"/>
    <w:uiPriority w:val="0"/>
    <w:qFormat/>
    <w:rPr>
      <w:rFonts w:ascii="Times New Roman" w:hAnsi="Times New Roman" w:eastAsia="Times New Roman" w:cs="Times New Roman"/>
      <w:sz w:val="24"/>
      <w:szCs w:val="24"/>
      <w:lang w:val="en-US" w:eastAsia="zh-CN" w:bidi="ar-SA"/>
    </w:rPr>
  </w:style>
  <w:style w:type="paragraph" w:styleId="1011" w:customStyle="1">
    <w:name w:val="Normal_42"/>
    <w:uiPriority w:val="0"/>
    <w:qFormat/>
    <w:rPr>
      <w:rFonts w:ascii="Times New Roman" w:hAnsi="Times New Roman" w:eastAsia="Times New Roman" w:cs="Times New Roman"/>
      <w:sz w:val="24"/>
      <w:szCs w:val="24"/>
      <w:lang w:val="en-US" w:eastAsia="zh-CN" w:bidi="ar-SA"/>
    </w:rPr>
  </w:style>
  <w:style w:type="paragraph" w:styleId="1012" w:customStyle="1">
    <w:name w:val="Normal_1_2"/>
    <w:uiPriority w:val="0"/>
    <w:qFormat/>
    <w:rPr>
      <w:rFonts w:ascii="Times New Roman" w:hAnsi="Times New Roman" w:eastAsia="Times New Roman" w:cs="Times New Roman"/>
      <w:sz w:val="24"/>
      <w:szCs w:val="24"/>
      <w:lang w:val="en-US" w:eastAsia="zh-CN" w:bidi="ar-SA"/>
    </w:rPr>
  </w:style>
  <w:style w:type="paragraph" w:styleId="1013" w:customStyle="1">
    <w:name w:val="Normal_19"/>
    <w:uiPriority w:val="0"/>
    <w:qFormat/>
    <w:rPr>
      <w:rFonts w:ascii="Times New Roman" w:hAnsi="Times New Roman" w:eastAsia="Times New Roman" w:cs="Times New Roman"/>
      <w:sz w:val="24"/>
      <w:szCs w:val="24"/>
      <w:lang w:val="en-US" w:eastAsia="zh-CN" w:bidi="ar-SA"/>
    </w:rPr>
  </w:style>
  <w:style w:type="paragraph" w:styleId="1014" w:customStyle="1">
    <w:name w:val="修订1"/>
    <w:uiPriority w:val="99"/>
    <w:semiHidden/>
    <w:qFormat/>
    <w:rPr>
      <w:rFonts w:ascii="Calibri" w:hAnsi="Calibri" w:eastAsia="宋体" w:cs="Times New Roman"/>
      <w:sz w:val="21"/>
      <w:szCs w:val="22"/>
      <w:lang w:val="en-US" w:eastAsia="zh-CN" w:bidi="ar-SA"/>
    </w:rPr>
  </w:style>
  <w:style w:type="paragraph" w:styleId="1015" w:customStyle="1">
    <w:name w:val="Normal_0_2"/>
    <w:uiPriority w:val="0"/>
    <w:qFormat/>
    <w:rPr>
      <w:rFonts w:ascii="Times New Roman" w:hAnsi="Times New Roman" w:eastAsia="Times New Roman" w:cs="Times New Roman"/>
      <w:sz w:val="24"/>
      <w:szCs w:val="24"/>
      <w:lang w:val="en-US" w:eastAsia="zh-CN" w:bidi="ar-SA"/>
    </w:rPr>
  </w:style>
  <w:style w:type="paragraph" w:styleId="1016" w:customStyle="1">
    <w:name w:val="Table Text"/>
    <w:basedOn w:val="746"/>
    <w:uiPriority w:val="0"/>
    <w:semiHidden/>
    <w:qFormat/>
    <w:pPr>
      <w:jc w:val="left"/>
      <w:widowControl/>
    </w:pPr>
    <w:rPr>
      <w:rFonts w:ascii="宋体" w:hAnsi="宋体" w:cs="宋体"/>
      <w:color w:val="000000"/>
      <w:sz w:val="24"/>
      <w:szCs w:val="24"/>
    </w:rPr>
  </w:style>
  <w:style w:type="table" w:styleId="1017" w:customStyle="1">
    <w:name w:val="Table Normal"/>
    <w:uiPriority w:val="0"/>
    <w:semiHidden/>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1018" w:customStyle="1">
    <w:name w:val="Char Char Char Char Char Char Char Char Char Char"/>
    <w:basedOn w:val="746"/>
    <w:uiPriority w:val="0"/>
    <w:qFormat/>
    <w:pPr>
      <w:spacing w:line="360" w:lineRule="auto"/>
    </w:pPr>
    <w:rPr>
      <w:rFonts w:ascii="Times New Roman" w:hAnsi="Times New Roman"/>
      <w:sz w:val="24"/>
      <w:szCs w:val="20"/>
    </w:rPr>
  </w:style>
  <w:style w:type="paragraph" w:styleId="1019" w:customStyle="1">
    <w:name w:val="Normal_0_0"/>
    <w:uiPriority w:val="0"/>
    <w:qFormat/>
    <w:rPr>
      <w:rFonts w:ascii="Times New Roman" w:hAnsi="Times New Roman" w:eastAsia="Times New Roman" w:cs="Times New Roman"/>
      <w:sz w:val="24"/>
      <w:szCs w:val="24"/>
      <w:lang w:val="en-US" w:eastAsia="zh-CN" w:bidi="ar-SA"/>
    </w:rPr>
  </w:style>
  <w:style w:type="character" w:styleId="1020" w:customStyle="1">
    <w:name w:val="默认段落字体11"/>
    <w:uiPriority w:val="1"/>
    <w:unhideWhenUsed/>
    <w:qFormat/>
    <w:rPr>
      <w:rFonts w:hint="default" w:ascii="Calibri" w:hAnsi="Calibri" w:eastAsia="宋体" w:cs="Times New Roman"/>
      <w:sz w:val="21"/>
      <w:szCs w:val="22"/>
    </w:rPr>
  </w:style>
  <w:style w:type="paragraph" w:styleId="1021" w:customStyle="1">
    <w:name w:val="Normal_0"/>
    <w:next w:val="960"/>
    <w:uiPriority w:val="0"/>
    <w:qFormat/>
    <w:pPr>
      <w:jc w:val="both"/>
      <w:widowControl w:val="off"/>
    </w:pPr>
    <w:rPr>
      <w:rFonts w:ascii="Times New Roman" w:hAnsi="Times New Roman" w:eastAsia="宋体" w:cs="Times New Roman"/>
      <w:sz w:val="21"/>
      <w:szCs w:val="24"/>
      <w:lang w:val="en-US" w:eastAsia="zh-CN" w:bidi="ar-SA"/>
    </w:rPr>
  </w:style>
  <w:style w:type="character" w:styleId="1022" w:customStyle="1">
    <w:name w:val="默认段落字体1"/>
    <w:uiPriority w:val="0"/>
    <w:semiHidden/>
    <w:qFormat/>
  </w:style>
  <w:style w:type="paragraph" w:styleId="1023" w:customStyle="1">
    <w:name w:val="正文1"/>
    <w:basedOn w:val="746"/>
    <w:next w:val="746"/>
    <w:uiPriority w:val="0"/>
    <w:qFormat/>
    <w:pPr>
      <w:ind w:left="420"/>
      <w:spacing w:line="300" w:lineRule="auto"/>
      <w:widowControl/>
    </w:pPr>
    <w:rPr>
      <w:szCs w:val="20"/>
    </w:rPr>
  </w:style>
  <w:style w:type="paragraph" w:styleId="1024" w:customStyle="1">
    <w:name w:val="样式1"/>
    <w:basedOn w:val="746"/>
    <w:uiPriority w:val="0"/>
    <w:qFormat/>
    <w:pPr>
      <w:numPr>
        <w:ilvl w:val="0"/>
        <w:numId w:val="2"/>
      </w:numPr>
    </w:pPr>
    <w:rPr>
      <w:rFonts w:ascii="宋体" w:hAnsi="宋体"/>
      <w:szCs w:val="21"/>
    </w:rPr>
  </w:style>
  <w:style w:type="paragraph" w:styleId="1025" w:customStyle="1">
    <w:name w:val="修订2"/>
    <w:hidden/>
    <w:uiPriority w:val="99"/>
    <w:unhideWhenUsed/>
    <w:qFormat/>
    <w:rPr>
      <w:rFonts w:ascii="Calibri" w:hAnsi="Calibri" w:eastAsia="宋体" w:cs="Times New Roman"/>
      <w:sz w:val="21"/>
      <w:szCs w:val="22"/>
      <w:lang w:val="en-US" w:eastAsia="zh-CN" w:bidi="ar-SA"/>
    </w:rPr>
  </w:style>
  <w:style w:type="paragraph" w:styleId="1026" w:customStyle="1">
    <w:name w:val="Normal_18"/>
    <w:uiPriority w:val="0"/>
    <w:qFormat/>
    <w:rPr>
      <w:rFonts w:ascii="Times New Roman" w:hAnsi="Times New Roman" w:eastAsia="Times New Roman" w:cs="Times New Roman"/>
      <w:sz w:val="24"/>
      <w:szCs w:val="24"/>
      <w:lang w:val="en-US" w:eastAsia="zh-CN" w:bidi="ar-SA"/>
    </w:rPr>
  </w:style>
  <w:style w:type="paragraph" w:styleId="1027" w:customStyle="1">
    <w:name w:val="_正文"/>
    <w:basedOn w:val="746"/>
    <w:uiPriority w:val="0"/>
    <w:qFormat/>
    <w:pPr>
      <w:ind w:firstLine="200"/>
      <w:spacing w:line="360" w:lineRule="auto"/>
    </w:pPr>
    <w:rPr>
      <w:sz w:val="24"/>
      <w:szCs w:val="24"/>
    </w:rPr>
  </w:style>
  <w:style w:type="paragraph" w:styleId="1028" w:customStyle="1">
    <w:name w:val="Normal_0_1"/>
    <w:uiPriority w:val="0"/>
    <w:qFormat/>
    <w:rPr>
      <w:rFonts w:ascii="Times New Roman" w:hAnsi="Times New Roman" w:eastAsia="Times New Roman" w:cs="Times New Roman"/>
      <w:sz w:val="24"/>
      <w:szCs w:val="24"/>
      <w:lang w:val="en-US" w:eastAsia="zh-CN" w:bidi="ar-SA"/>
    </w:rPr>
  </w:style>
  <w:style w:type="paragraph" w:styleId="1029" w:customStyle="1">
    <w:name w:val="Normal_0_0_0"/>
    <w:uiPriority w:val="0"/>
    <w:qFormat/>
    <w:rPr>
      <w:rFonts w:ascii="Times New Roman" w:hAnsi="Times New Roman" w:eastAsia="Times New Roman" w:cs="Times New Roman"/>
      <w:sz w:val="24"/>
      <w:szCs w:val="24"/>
      <w:lang w:val="en-US" w:eastAsia="zh-CN" w:bidi="ar-SA"/>
    </w:rPr>
  </w:style>
  <w:style w:type="paragraph" w:styleId="1030" w:customStyle="1">
    <w:name w:val="Normal_17"/>
    <w:uiPriority w:val="0"/>
    <w:qFormat/>
    <w:rPr>
      <w:rFonts w:ascii="Times New Roman" w:hAnsi="Times New Roman" w:eastAsia="Times New Roman" w:cs="Times New Roman"/>
      <w:sz w:val="24"/>
      <w:szCs w:val="24"/>
      <w:lang w:val="en-US" w:eastAsia="zh-CN" w:bidi="ar-SA"/>
    </w:rPr>
  </w:style>
  <w:style w:type="paragraph" w:styleId="1031" w:customStyle="1">
    <w:name w:val="p0"/>
    <w:basedOn w:val="746"/>
    <w:uiPriority w:val="0"/>
    <w:qFormat/>
    <w:pPr>
      <w:widowControl/>
    </w:pPr>
    <w:rPr>
      <w:szCs w:val="21"/>
    </w:rPr>
  </w:style>
  <w:style w:type="paragraph" w:styleId="1032" w:customStyle="1">
    <w:name w:val="_Style 2"/>
    <w:basedOn w:val="746"/>
    <w:uiPriority w:val="0"/>
    <w:qFormat/>
    <w:pPr>
      <w:ind w:firstLine="623"/>
      <w:spacing w:line="351" w:lineRule="atLeast"/>
    </w:pPr>
    <w:rPr>
      <w:rFonts w:ascii="Times New Roman" w:hAnsi="Times New Roman" w:eastAsia="仿宋_GB2312"/>
      <w:color w:val="000000"/>
      <w:sz w:val="31"/>
      <w:szCs w:val="31"/>
    </w:rPr>
  </w:style>
  <w:style w:type="paragraph" w:styleId="1033" w:customStyle="1">
    <w:name w:val="修订3"/>
    <w:hidden/>
    <w:uiPriority w:val="99"/>
    <w:unhideWhenUsed/>
    <w:qFormat/>
    <w:rPr>
      <w:rFonts w:ascii="Calibri" w:hAnsi="Calibri" w:eastAsia="宋体" w:cs="Times New Roman"/>
      <w:sz w:val="21"/>
      <w:szCs w:val="22"/>
      <w:lang w:val="en-US" w:eastAsia="zh-CN" w:bidi="ar-SA"/>
    </w:rPr>
  </w:style>
  <w:style w:type="paragraph" w:styleId="1034" w:customStyle="1">
    <w:name w:val="Normal_0_0_0_0"/>
    <w:basedOn w:val="746"/>
    <w:uiPriority w:val="0"/>
    <w:qFormat/>
    <w:pPr>
      <w:jc w:val="left"/>
      <w:widowControl/>
    </w:pPr>
    <w:rPr>
      <w:rFonts w:ascii="Times New Roman" w:hAnsi="Times New Roman" w:eastAsia="Times New Roman"/>
      <w:sz w:val="24"/>
      <w:szCs w:val="24"/>
    </w:rPr>
  </w:style>
  <w:style w:type="paragraph" w:styleId="1035" w:customStyle="1">
    <w:name w:val="Revision"/>
    <w:hidden/>
    <w:uiPriority w:val="99"/>
    <w:unhideWhenUsed/>
    <w:qFormat/>
    <w:rPr>
      <w:rFonts w:ascii="Calibri" w:hAnsi="Calibri" w:eastAsia="宋体" w:cs="Times New Roman"/>
      <w:sz w:val="21"/>
      <w:szCs w:val="22"/>
      <w:lang w:val="en-US" w:eastAsia="zh-CN" w:bidi="ar-SA"/>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E879734-3CB3-490E-B868-A229B00F078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qiu</dc:creator>
  <cp:lastModifiedBy>秦宇辉</cp:lastModifiedBy>
  <cp:revision>6</cp:revision>
  <dcterms:created xsi:type="dcterms:W3CDTF">2025-11-30T11:27:00Z</dcterms:created>
  <dcterms:modified xsi:type="dcterms:W3CDTF">2025-12-11T08:37:21Z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C39D505CC0694D8895F2CECFF82F267D_13</vt:lpwstr>
  </property>
  <property fmtid="{D5CDD505-2E9C-101B-9397-08002B2CF9AE}" pid="4" name="KSOTemplateDocerSaveRecord">
    <vt:lpwstr>eyJoZGlkIjoiNjQ2YWZjNmQ0NjhjNmQ3YWNkY2RiM2Y2MzJjMGVmZjUiLCJ1c2VySWQiOiIxNjAzNzE3MzQ1In0=</vt:lpwstr>
  </property>
</Properties>
</file>